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4E8C" w14:textId="77777777" w:rsidR="001D6AF8" w:rsidRPr="001D6AF8" w:rsidRDefault="001D6AF8" w:rsidP="001D6AF8">
      <w:pPr>
        <w:keepNext/>
        <w:spacing w:after="1200" w:line="360" w:lineRule="auto"/>
        <w:rPr>
          <w:rFonts w:cs="Arial"/>
          <w:iCs/>
        </w:rPr>
      </w:pPr>
      <w:r w:rsidRPr="001D6AF8">
        <w:rPr>
          <w:rFonts w:cs="Arial"/>
          <w:iCs/>
        </w:rPr>
        <w:t>Sygnatura wytycznych</w:t>
      </w:r>
    </w:p>
    <w:p w14:paraId="38FD0EAD" w14:textId="77777777" w:rsidR="001D6AF8" w:rsidRPr="001D6AF8" w:rsidRDefault="001D6AF8" w:rsidP="001D6AF8">
      <w:pPr>
        <w:keepNext/>
        <w:spacing w:before="1200" w:after="360" w:line="360" w:lineRule="auto"/>
        <w:jc w:val="center"/>
        <w:rPr>
          <w:rFonts w:ascii="Times New Roman" w:hAnsi="Times New Roman"/>
          <w:bCs/>
          <w:caps/>
          <w:kern w:val="24"/>
        </w:rPr>
      </w:pPr>
      <w:r w:rsidRPr="001D6AF8">
        <w:rPr>
          <w:rFonts w:ascii="Times New Roman" w:hAnsi="Times New Roman"/>
          <w:bCs/>
          <w:caps/>
          <w:kern w:val="24"/>
        </w:rPr>
        <w:object w:dxaOrig="1272" w:dyaOrig="1190" w14:anchorId="24786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ka przedstawiająca orła w koronie&#10;" style="width:1in;height:66pt" o:ole="" fillcolor="window">
            <v:imagedata r:id="rId8" o:title=""/>
          </v:shape>
          <o:OLEObject Type="Embed" ProgID="HP.DeskScan.2" ShapeID="_x0000_i1025" DrawAspect="Content" ObjectID="_1722839184" r:id="rId9"/>
        </w:object>
      </w:r>
    </w:p>
    <w:p w14:paraId="5F28D711" w14:textId="2B01CD45" w:rsidR="001D6AF8" w:rsidRPr="001D6AF8" w:rsidRDefault="001D6AF8" w:rsidP="001D6AF8">
      <w:pPr>
        <w:keepNext/>
        <w:suppressAutoHyphens/>
        <w:spacing w:before="360" w:after="1200" w:line="360" w:lineRule="auto"/>
        <w:jc w:val="center"/>
        <w:rPr>
          <w:rFonts w:cs="Arial"/>
          <w:b/>
          <w:bCs/>
        </w:rPr>
      </w:pPr>
      <w:r w:rsidRPr="001D6AF8">
        <w:rPr>
          <w:rFonts w:cs="Arial"/>
          <w:b/>
          <w:bCs/>
        </w:rPr>
        <w:t>Minister Funduszy i Polityki Regionalnej</w:t>
      </w:r>
    </w:p>
    <w:p w14:paraId="3CCF9E50" w14:textId="16E68A4C" w:rsidR="001D6AF8" w:rsidRPr="001D6AF8" w:rsidRDefault="001D6AF8" w:rsidP="001D6AF8">
      <w:pPr>
        <w:keepNext/>
        <w:suppressAutoHyphens/>
        <w:spacing w:before="1200" w:after="360" w:line="360" w:lineRule="auto"/>
        <w:jc w:val="center"/>
        <w:rPr>
          <w:rFonts w:cs="Arial"/>
          <w:b/>
          <w:bCs/>
        </w:rPr>
      </w:pPr>
      <w:r w:rsidRPr="001D6AF8">
        <w:rPr>
          <w:rFonts w:cs="Arial"/>
          <w:b/>
          <w:bCs/>
        </w:rPr>
        <w:t xml:space="preserve">Wytyczne dotyczące </w:t>
      </w:r>
      <w:r w:rsidR="00EA6F18">
        <w:rPr>
          <w:rFonts w:cs="Arial"/>
          <w:b/>
          <w:bCs/>
        </w:rPr>
        <w:t>wykorzystania środków pomocy technicznej</w:t>
      </w:r>
      <w:r w:rsidRPr="001D6AF8">
        <w:rPr>
          <w:rFonts w:cs="Arial"/>
          <w:b/>
          <w:bCs/>
        </w:rPr>
        <w:t xml:space="preserve"> na lata 2021-2027</w:t>
      </w:r>
    </w:p>
    <w:p w14:paraId="03F93590" w14:textId="61C4FD45" w:rsidR="001D6AF8" w:rsidRPr="001D6AF8" w:rsidRDefault="001D6AF8" w:rsidP="001D6AF8">
      <w:pPr>
        <w:keepNext/>
        <w:suppressAutoHyphens/>
        <w:spacing w:before="360" w:after="1200" w:line="360" w:lineRule="auto"/>
        <w:jc w:val="center"/>
        <w:rPr>
          <w:rFonts w:cs="Arial"/>
          <w:bCs/>
          <w:iCs/>
          <w:kern w:val="24"/>
        </w:rPr>
      </w:pPr>
      <w:r w:rsidRPr="001D6AF8">
        <w:rPr>
          <w:rFonts w:cs="Arial"/>
          <w:bCs/>
          <w:iCs/>
          <w:kern w:val="24"/>
        </w:rPr>
        <w:t>(</w:t>
      </w:r>
      <w:r w:rsidR="00EA6F18">
        <w:rPr>
          <w:rFonts w:cs="Arial"/>
          <w:bCs/>
          <w:iCs/>
          <w:kern w:val="24"/>
        </w:rPr>
        <w:t>projekt</w:t>
      </w:r>
      <w:r w:rsidRPr="001D6AF8">
        <w:rPr>
          <w:rFonts w:cs="Arial"/>
          <w:bCs/>
          <w:iCs/>
          <w:kern w:val="24"/>
        </w:rPr>
        <w:t>)</w:t>
      </w:r>
    </w:p>
    <w:p w14:paraId="23EAB2DA" w14:textId="374296B1" w:rsidR="00E95454" w:rsidRPr="001D6AF8" w:rsidRDefault="001D6AF8" w:rsidP="00E95454">
      <w:pPr>
        <w:keepNext/>
        <w:suppressAutoHyphens/>
        <w:spacing w:before="1200" w:after="360" w:line="360" w:lineRule="auto"/>
        <w:ind w:left="4820"/>
        <w:jc w:val="center"/>
        <w:rPr>
          <w:rFonts w:cs="Arial"/>
          <w:bCs/>
          <w:kern w:val="24"/>
        </w:rPr>
      </w:pPr>
      <w:r w:rsidRPr="001D6AF8">
        <w:rPr>
          <w:rFonts w:cs="Arial"/>
          <w:bCs/>
          <w:kern w:val="24"/>
        </w:rPr>
        <w:t>Zatwierdzam</w:t>
      </w:r>
      <w:r w:rsidR="00E95454">
        <w:rPr>
          <w:rFonts w:cs="Arial"/>
          <w:bCs/>
          <w:kern w:val="24"/>
        </w:rPr>
        <w:br/>
      </w:r>
      <w:r w:rsidR="00E95454">
        <w:rPr>
          <w:rFonts w:cs="Arial"/>
        </w:rPr>
        <w:t xml:space="preserve"> </w:t>
      </w:r>
      <w:bookmarkStart w:id="0" w:name="ezdPracownikNazwa"/>
      <w:bookmarkEnd w:id="0"/>
      <w:r w:rsidR="00E95454">
        <w:rPr>
          <w:rFonts w:cs="Arial"/>
        </w:rPr>
        <w:t xml:space="preserve"> </w:t>
      </w:r>
    </w:p>
    <w:p w14:paraId="64CE303D" w14:textId="78EFAD4C" w:rsidR="001D6AF8" w:rsidRPr="001D6AF8" w:rsidRDefault="001D6AF8" w:rsidP="00666693">
      <w:pPr>
        <w:keepNext/>
        <w:suppressAutoHyphens/>
        <w:spacing w:before="360" w:after="1800" w:line="360" w:lineRule="auto"/>
        <w:ind w:left="4820"/>
        <w:jc w:val="center"/>
        <w:rPr>
          <w:rFonts w:cs="Arial"/>
          <w:bCs/>
          <w:kern w:val="24"/>
        </w:rPr>
      </w:pPr>
      <w:r w:rsidRPr="001D6AF8">
        <w:rPr>
          <w:rFonts w:cs="Arial"/>
          <w:bCs/>
          <w:kern w:val="24"/>
        </w:rPr>
        <w:t xml:space="preserve">Minister Funduszy </w:t>
      </w:r>
      <w:r w:rsidRPr="001D6AF8">
        <w:rPr>
          <w:rFonts w:cs="Arial"/>
          <w:bCs/>
          <w:kern w:val="24"/>
        </w:rPr>
        <w:br/>
        <w:t>i Polityki Regionalnej</w:t>
      </w:r>
      <w:r w:rsidRPr="001D6AF8">
        <w:rPr>
          <w:rFonts w:cs="Arial"/>
          <w:bCs/>
          <w:kern w:val="24"/>
          <w:vertAlign w:val="superscript"/>
        </w:rPr>
        <w:fldChar w:fldCharType="begin"/>
      </w:r>
      <w:r w:rsidRPr="001D6AF8">
        <w:rPr>
          <w:rFonts w:cs="Arial"/>
          <w:bCs/>
          <w:kern w:val="24"/>
          <w:vertAlign w:val="superscript"/>
        </w:rPr>
        <w:instrText xml:space="preserve"> NOTEREF _Ref96607521  \* MERGEFORMAT </w:instrText>
      </w:r>
      <w:r w:rsidR="005753E1">
        <w:rPr>
          <w:rFonts w:cs="Arial"/>
          <w:bCs/>
          <w:kern w:val="24"/>
          <w:vertAlign w:val="superscript"/>
        </w:rPr>
        <w:fldChar w:fldCharType="separate"/>
      </w:r>
      <w:r w:rsidRPr="001D6AF8">
        <w:rPr>
          <w:rFonts w:cs="Arial"/>
          <w:bCs/>
          <w:kern w:val="24"/>
          <w:vertAlign w:val="superscript"/>
        </w:rPr>
        <w:fldChar w:fldCharType="end"/>
      </w:r>
    </w:p>
    <w:p w14:paraId="6DB45ED8" w14:textId="77777777" w:rsidR="000A3B21" w:rsidRDefault="001D6AF8" w:rsidP="00D172CD">
      <w:pPr>
        <w:spacing w:line="360" w:lineRule="auto"/>
        <w:jc w:val="center"/>
        <w:outlineLvl w:val="0"/>
        <w:rPr>
          <w:rFonts w:cs="Arial"/>
          <w:bCs/>
        </w:rPr>
      </w:pPr>
      <w:r w:rsidRPr="001D6AF8">
        <w:rPr>
          <w:rFonts w:cs="Arial"/>
          <w:bCs/>
        </w:rPr>
        <w:t>Warszawa</w:t>
      </w:r>
      <w:r w:rsidR="00D172CD">
        <w:rPr>
          <w:rFonts w:cs="Arial"/>
          <w:bCs/>
        </w:rPr>
        <w:t xml:space="preserve">, </w:t>
      </w:r>
      <w:bookmarkStart w:id="1" w:name="ezdDataPodpisu"/>
      <w:bookmarkEnd w:id="1"/>
      <w:r w:rsidR="00D172CD">
        <w:rPr>
          <w:rFonts w:cs="Arial"/>
          <w:bCs/>
        </w:rPr>
        <w:t xml:space="preserve"> r.</w:t>
      </w:r>
    </w:p>
    <w:p w14:paraId="68AF5E07" w14:textId="042DD797" w:rsidR="00666693" w:rsidRPr="00D172CD" w:rsidRDefault="00666693" w:rsidP="000A3B21">
      <w:pPr>
        <w:spacing w:line="360" w:lineRule="auto"/>
        <w:jc w:val="center"/>
        <w:outlineLvl w:val="0"/>
        <w:rPr>
          <w:rFonts w:cs="Arial"/>
        </w:rPr>
      </w:pPr>
      <w:r>
        <w:rPr>
          <w:rFonts w:ascii="Times New Roman" w:hAnsi="Times New Roman"/>
          <w:bCs/>
        </w:rPr>
        <w:br w:type="page"/>
      </w:r>
    </w:p>
    <w:p w14:paraId="0B2D11F7" w14:textId="3964DE2D" w:rsidR="000952A5" w:rsidRPr="000952A5" w:rsidRDefault="000952A5" w:rsidP="000952A5">
      <w:pPr>
        <w:rPr>
          <w:b/>
          <w:bCs/>
          <w:sz w:val="28"/>
          <w:szCs w:val="28"/>
        </w:rPr>
      </w:pPr>
      <w:r w:rsidRPr="000952A5">
        <w:rPr>
          <w:b/>
          <w:bCs/>
          <w:sz w:val="28"/>
          <w:szCs w:val="28"/>
        </w:rPr>
        <w:lastRenderedPageBreak/>
        <w:t>Podstawa prawna</w:t>
      </w:r>
    </w:p>
    <w:p w14:paraId="7F9358E2" w14:textId="7B7ADC59" w:rsidR="007D52B0" w:rsidRDefault="008D7C10" w:rsidP="008F7A4A">
      <w:pPr>
        <w:spacing w:before="240" w:after="120" w:line="360" w:lineRule="auto"/>
        <w:rPr>
          <w:rFonts w:cs="Arial"/>
          <w:bCs/>
        </w:rPr>
      </w:pPr>
      <w:r>
        <w:rPr>
          <w:rFonts w:cs="Arial"/>
          <w:bCs/>
        </w:rPr>
        <w:t>W</w:t>
      </w:r>
      <w:r w:rsidR="00FD479A" w:rsidRPr="00FD479A">
        <w:rPr>
          <w:rFonts w:cs="Arial"/>
          <w:bCs/>
        </w:rPr>
        <w:t>ytyczne zostały wydane na podstawie art. 5 ust</w:t>
      </w:r>
      <w:r w:rsidR="00FD479A">
        <w:rPr>
          <w:rFonts w:cs="Arial"/>
          <w:bCs/>
        </w:rPr>
        <w:t xml:space="preserve">. </w:t>
      </w:r>
      <w:r w:rsidR="00FD479A" w:rsidRPr="00FD479A">
        <w:rPr>
          <w:rFonts w:cs="Arial"/>
          <w:bCs/>
        </w:rPr>
        <w:t xml:space="preserve">1 </w:t>
      </w:r>
      <w:r w:rsidR="00FD479A" w:rsidRPr="008D7C10">
        <w:rPr>
          <w:rFonts w:cs="Arial"/>
          <w:bCs/>
        </w:rPr>
        <w:t>pkt</w:t>
      </w:r>
      <w:r w:rsidR="00593D85">
        <w:rPr>
          <w:rFonts w:cs="Arial"/>
          <w:bCs/>
        </w:rPr>
        <w:t xml:space="preserve"> 11</w:t>
      </w:r>
      <w:r w:rsidR="00FD479A" w:rsidRPr="00FD479A">
        <w:rPr>
          <w:rFonts w:cs="Arial"/>
          <w:bCs/>
        </w:rPr>
        <w:t xml:space="preserve"> </w:t>
      </w:r>
      <w:r w:rsidR="000A27BD" w:rsidRPr="000A27BD">
        <w:rPr>
          <w:rFonts w:cs="Arial"/>
          <w:bCs/>
        </w:rPr>
        <w:t xml:space="preserve">ustawy z dnia </w:t>
      </w:r>
      <w:r>
        <w:rPr>
          <w:rFonts w:cs="Arial"/>
          <w:bCs/>
        </w:rPr>
        <w:t>28 kwietnia</w:t>
      </w:r>
      <w:r w:rsidR="000A27BD" w:rsidRPr="000A27BD">
        <w:rPr>
          <w:rFonts w:cs="Arial"/>
          <w:bCs/>
        </w:rPr>
        <w:t xml:space="preserve"> 2022 r. o zasadach realizacji zadań finansowanych ze środków europejskich w</w:t>
      </w:r>
      <w:r w:rsidR="00206D55">
        <w:rPr>
          <w:rFonts w:cs="Arial"/>
          <w:bCs/>
        </w:rPr>
        <w:t> </w:t>
      </w:r>
      <w:r w:rsidR="000A27BD" w:rsidRPr="000A27BD">
        <w:rPr>
          <w:rFonts w:cs="Arial"/>
          <w:bCs/>
        </w:rPr>
        <w:t xml:space="preserve">perspektywie finansowej 2021-2027 (Dz. U. poz. </w:t>
      </w:r>
      <w:r w:rsidR="00D561FE">
        <w:rPr>
          <w:rFonts w:cs="Arial"/>
          <w:bCs/>
        </w:rPr>
        <w:t>1079</w:t>
      </w:r>
      <w:r w:rsidR="000A27BD" w:rsidRPr="000A27BD">
        <w:rPr>
          <w:rFonts w:cs="Arial"/>
          <w:bCs/>
        </w:rPr>
        <w:t>)</w:t>
      </w:r>
      <w:r w:rsidR="000A27BD">
        <w:rPr>
          <w:rFonts w:cs="Arial"/>
          <w:bCs/>
        </w:rPr>
        <w:t>.</w:t>
      </w:r>
      <w:r w:rsidR="000A27BD" w:rsidRPr="000A27BD">
        <w:rPr>
          <w:rFonts w:cs="Arial"/>
          <w:bCs/>
        </w:rPr>
        <w:t xml:space="preserve"> </w:t>
      </w:r>
      <w:r w:rsidR="007D52B0">
        <w:rPr>
          <w:rFonts w:cs="Arial"/>
          <w:bCs/>
        </w:rPr>
        <w:br w:type="page"/>
      </w:r>
    </w:p>
    <w:sdt>
      <w:sdtPr>
        <w:id w:val="1996299964"/>
        <w:docPartObj>
          <w:docPartGallery w:val="Table of Contents"/>
          <w:docPartUnique/>
        </w:docPartObj>
      </w:sdtPr>
      <w:sdtEndPr>
        <w:rPr>
          <w:b/>
          <w:bCs/>
          <w:noProof/>
        </w:rPr>
      </w:sdtEndPr>
      <w:sdtContent>
        <w:p w14:paraId="634ACB85" w14:textId="77777777" w:rsidR="005B3582" w:rsidRPr="007C47BC" w:rsidRDefault="00115B33" w:rsidP="00C57D65">
          <w:pPr>
            <w:pStyle w:val="Spistreci1"/>
            <w:rPr>
              <w:b/>
              <w:bCs/>
              <w:sz w:val="28"/>
              <w:szCs w:val="28"/>
            </w:rPr>
          </w:pPr>
          <w:r w:rsidRPr="007C47BC">
            <w:rPr>
              <w:b/>
              <w:bCs/>
              <w:sz w:val="28"/>
              <w:szCs w:val="28"/>
            </w:rPr>
            <w:t>Spis treści</w:t>
          </w:r>
        </w:p>
        <w:p w14:paraId="16914432" w14:textId="1A4FBE6A" w:rsidR="000B79CA" w:rsidRDefault="00115B33">
          <w:pPr>
            <w:pStyle w:val="Spistreci1"/>
            <w:rPr>
              <w:rFonts w:asciiTheme="minorHAnsi" w:eastAsiaTheme="minorEastAsia" w:hAnsiTheme="minorHAnsi" w:cstheme="minorBidi"/>
              <w:noProof/>
              <w:sz w:val="22"/>
              <w:szCs w:val="22"/>
            </w:rPr>
          </w:pPr>
          <w:r w:rsidRPr="001D6AF8">
            <w:rPr>
              <w:rFonts w:asciiTheme="minorHAnsi" w:eastAsiaTheme="minorEastAsia" w:hAnsiTheme="minorHAnsi" w:cs="Arial"/>
              <w:bCs/>
              <w:sz w:val="3276"/>
              <w:szCs w:val="3276"/>
            </w:rPr>
            <w:fldChar w:fldCharType="begin"/>
          </w:r>
          <w:r w:rsidRPr="001D6AF8">
            <w:rPr>
              <w:rFonts w:cs="Arial"/>
              <w:bCs/>
            </w:rPr>
            <w:instrText xml:space="preserve"> TOC \o "2-3" \h \z \t "Nagłówek 1;1" </w:instrText>
          </w:r>
          <w:r w:rsidRPr="001D6AF8">
            <w:rPr>
              <w:rFonts w:asciiTheme="minorHAnsi" w:eastAsiaTheme="minorEastAsia" w:hAnsiTheme="minorHAnsi" w:cs="Arial"/>
              <w:bCs/>
              <w:sz w:val="3276"/>
              <w:szCs w:val="3276"/>
            </w:rPr>
            <w:fldChar w:fldCharType="separate"/>
          </w:r>
          <w:hyperlink w:anchor="_Toc110601965" w:history="1">
            <w:r w:rsidR="000B79CA" w:rsidRPr="00DE00DD">
              <w:rPr>
                <w:rStyle w:val="Hipercze"/>
                <w:noProof/>
              </w:rPr>
              <w:t>Wykaz skrótów</w:t>
            </w:r>
            <w:r w:rsidR="000B79CA">
              <w:rPr>
                <w:noProof/>
                <w:webHidden/>
              </w:rPr>
              <w:tab/>
            </w:r>
            <w:r w:rsidR="000B79CA">
              <w:rPr>
                <w:noProof/>
                <w:webHidden/>
              </w:rPr>
              <w:fldChar w:fldCharType="begin"/>
            </w:r>
            <w:r w:rsidR="000B79CA">
              <w:rPr>
                <w:noProof/>
                <w:webHidden/>
              </w:rPr>
              <w:instrText xml:space="preserve"> PAGEREF _Toc110601965 \h </w:instrText>
            </w:r>
            <w:r w:rsidR="000B79CA">
              <w:rPr>
                <w:noProof/>
                <w:webHidden/>
              </w:rPr>
            </w:r>
            <w:r w:rsidR="000B79CA">
              <w:rPr>
                <w:noProof/>
                <w:webHidden/>
              </w:rPr>
              <w:fldChar w:fldCharType="separate"/>
            </w:r>
            <w:r w:rsidR="00CE3751">
              <w:rPr>
                <w:noProof/>
                <w:webHidden/>
              </w:rPr>
              <w:t>5</w:t>
            </w:r>
            <w:r w:rsidR="000B79CA">
              <w:rPr>
                <w:noProof/>
                <w:webHidden/>
              </w:rPr>
              <w:fldChar w:fldCharType="end"/>
            </w:r>
          </w:hyperlink>
        </w:p>
        <w:p w14:paraId="5DF1E6B0" w14:textId="202BEA26" w:rsidR="000B79CA" w:rsidRDefault="005753E1">
          <w:pPr>
            <w:pStyle w:val="Spistreci1"/>
            <w:rPr>
              <w:rFonts w:asciiTheme="minorHAnsi" w:eastAsiaTheme="minorEastAsia" w:hAnsiTheme="minorHAnsi" w:cstheme="minorBidi"/>
              <w:noProof/>
              <w:sz w:val="22"/>
              <w:szCs w:val="22"/>
            </w:rPr>
          </w:pPr>
          <w:hyperlink w:anchor="_Toc110601966" w:history="1">
            <w:r w:rsidR="000B79CA" w:rsidRPr="00DE00DD">
              <w:rPr>
                <w:rStyle w:val="Hipercze"/>
                <w:noProof/>
              </w:rPr>
              <w:t>Wykaz pojęć</w:t>
            </w:r>
            <w:r w:rsidR="000B79CA">
              <w:rPr>
                <w:noProof/>
                <w:webHidden/>
              </w:rPr>
              <w:tab/>
            </w:r>
            <w:r w:rsidR="000B79CA">
              <w:rPr>
                <w:noProof/>
                <w:webHidden/>
              </w:rPr>
              <w:fldChar w:fldCharType="begin"/>
            </w:r>
            <w:r w:rsidR="000B79CA">
              <w:rPr>
                <w:noProof/>
                <w:webHidden/>
              </w:rPr>
              <w:instrText xml:space="preserve"> PAGEREF _Toc110601966 \h </w:instrText>
            </w:r>
            <w:r w:rsidR="000B79CA">
              <w:rPr>
                <w:noProof/>
                <w:webHidden/>
              </w:rPr>
            </w:r>
            <w:r w:rsidR="000B79CA">
              <w:rPr>
                <w:noProof/>
                <w:webHidden/>
              </w:rPr>
              <w:fldChar w:fldCharType="separate"/>
            </w:r>
            <w:r w:rsidR="00CE3751">
              <w:rPr>
                <w:noProof/>
                <w:webHidden/>
              </w:rPr>
              <w:t>6</w:t>
            </w:r>
            <w:r w:rsidR="000B79CA">
              <w:rPr>
                <w:noProof/>
                <w:webHidden/>
              </w:rPr>
              <w:fldChar w:fldCharType="end"/>
            </w:r>
          </w:hyperlink>
        </w:p>
        <w:p w14:paraId="242BD471" w14:textId="11D6F649" w:rsidR="000B79CA" w:rsidRDefault="005753E1">
          <w:pPr>
            <w:pStyle w:val="Spistreci1"/>
            <w:rPr>
              <w:rFonts w:asciiTheme="minorHAnsi" w:eastAsiaTheme="minorEastAsia" w:hAnsiTheme="minorHAnsi" w:cstheme="minorBidi"/>
              <w:noProof/>
              <w:sz w:val="22"/>
              <w:szCs w:val="22"/>
            </w:rPr>
          </w:pPr>
          <w:hyperlink w:anchor="_Toc110601967" w:history="1">
            <w:r w:rsidR="000B79CA" w:rsidRPr="00DE00DD">
              <w:rPr>
                <w:rStyle w:val="Hipercze"/>
                <w:noProof/>
              </w:rPr>
              <w:t>Rozdział 1. Cel oraz zakres stosowania Wytycznych</w:t>
            </w:r>
            <w:r w:rsidR="000B79CA">
              <w:rPr>
                <w:noProof/>
                <w:webHidden/>
              </w:rPr>
              <w:tab/>
            </w:r>
            <w:r w:rsidR="000B79CA">
              <w:rPr>
                <w:noProof/>
                <w:webHidden/>
              </w:rPr>
              <w:fldChar w:fldCharType="begin"/>
            </w:r>
            <w:r w:rsidR="000B79CA">
              <w:rPr>
                <w:noProof/>
                <w:webHidden/>
              </w:rPr>
              <w:instrText xml:space="preserve"> PAGEREF _Toc110601967 \h </w:instrText>
            </w:r>
            <w:r w:rsidR="000B79CA">
              <w:rPr>
                <w:noProof/>
                <w:webHidden/>
              </w:rPr>
            </w:r>
            <w:r w:rsidR="000B79CA">
              <w:rPr>
                <w:noProof/>
                <w:webHidden/>
              </w:rPr>
              <w:fldChar w:fldCharType="separate"/>
            </w:r>
            <w:r w:rsidR="00CE3751">
              <w:rPr>
                <w:noProof/>
                <w:webHidden/>
              </w:rPr>
              <w:t>9</w:t>
            </w:r>
            <w:r w:rsidR="000B79CA">
              <w:rPr>
                <w:noProof/>
                <w:webHidden/>
              </w:rPr>
              <w:fldChar w:fldCharType="end"/>
            </w:r>
          </w:hyperlink>
        </w:p>
        <w:p w14:paraId="4081B91C" w14:textId="37C37F50" w:rsidR="000B79CA" w:rsidRDefault="005753E1">
          <w:pPr>
            <w:pStyle w:val="Spistreci1"/>
            <w:rPr>
              <w:rFonts w:asciiTheme="minorHAnsi" w:eastAsiaTheme="minorEastAsia" w:hAnsiTheme="minorHAnsi" w:cstheme="minorBidi"/>
              <w:noProof/>
              <w:sz w:val="22"/>
              <w:szCs w:val="22"/>
            </w:rPr>
          </w:pPr>
          <w:hyperlink w:anchor="_Toc110601968" w:history="1">
            <w:r w:rsidR="000B79CA" w:rsidRPr="00DE00DD">
              <w:rPr>
                <w:rStyle w:val="Hipercze"/>
                <w:noProof/>
              </w:rPr>
              <w:t>Rozdział 2. Typy działań możliwych do sfinansowania z pomocy technicznej</w:t>
            </w:r>
            <w:r w:rsidR="000B79CA">
              <w:rPr>
                <w:noProof/>
                <w:webHidden/>
              </w:rPr>
              <w:tab/>
            </w:r>
            <w:r w:rsidR="000B79CA">
              <w:rPr>
                <w:noProof/>
                <w:webHidden/>
              </w:rPr>
              <w:fldChar w:fldCharType="begin"/>
            </w:r>
            <w:r w:rsidR="000B79CA">
              <w:rPr>
                <w:noProof/>
                <w:webHidden/>
              </w:rPr>
              <w:instrText xml:space="preserve"> PAGEREF _Toc110601968 \h </w:instrText>
            </w:r>
            <w:r w:rsidR="000B79CA">
              <w:rPr>
                <w:noProof/>
                <w:webHidden/>
              </w:rPr>
            </w:r>
            <w:r w:rsidR="000B79CA">
              <w:rPr>
                <w:noProof/>
                <w:webHidden/>
              </w:rPr>
              <w:fldChar w:fldCharType="separate"/>
            </w:r>
            <w:r w:rsidR="00CE3751">
              <w:rPr>
                <w:noProof/>
                <w:webHidden/>
              </w:rPr>
              <w:t>10</w:t>
            </w:r>
            <w:r w:rsidR="000B79CA">
              <w:rPr>
                <w:noProof/>
                <w:webHidden/>
              </w:rPr>
              <w:fldChar w:fldCharType="end"/>
            </w:r>
          </w:hyperlink>
        </w:p>
        <w:p w14:paraId="4BA73AA4" w14:textId="5B33004A" w:rsidR="000B79CA" w:rsidRDefault="005753E1">
          <w:pPr>
            <w:pStyle w:val="Spistreci1"/>
            <w:rPr>
              <w:rFonts w:asciiTheme="minorHAnsi" w:eastAsiaTheme="minorEastAsia" w:hAnsiTheme="minorHAnsi" w:cstheme="minorBidi"/>
              <w:noProof/>
              <w:sz w:val="22"/>
              <w:szCs w:val="22"/>
            </w:rPr>
          </w:pPr>
          <w:hyperlink w:anchor="_Toc110601969" w:history="1">
            <w:r w:rsidR="000B79CA" w:rsidRPr="00DE00DD">
              <w:rPr>
                <w:rStyle w:val="Hipercze"/>
                <w:noProof/>
              </w:rPr>
              <w:t>Rozdział 3. Rozwój ZZL</w:t>
            </w:r>
            <w:r w:rsidR="000B79CA">
              <w:rPr>
                <w:noProof/>
                <w:webHidden/>
              </w:rPr>
              <w:tab/>
            </w:r>
            <w:r w:rsidR="000B79CA">
              <w:rPr>
                <w:noProof/>
                <w:webHidden/>
              </w:rPr>
              <w:fldChar w:fldCharType="begin"/>
            </w:r>
            <w:r w:rsidR="000B79CA">
              <w:rPr>
                <w:noProof/>
                <w:webHidden/>
              </w:rPr>
              <w:instrText xml:space="preserve"> PAGEREF _Toc110601969 \h </w:instrText>
            </w:r>
            <w:r w:rsidR="000B79CA">
              <w:rPr>
                <w:noProof/>
                <w:webHidden/>
              </w:rPr>
            </w:r>
            <w:r w:rsidR="000B79CA">
              <w:rPr>
                <w:noProof/>
                <w:webHidden/>
              </w:rPr>
              <w:fldChar w:fldCharType="separate"/>
            </w:r>
            <w:r w:rsidR="00CE3751">
              <w:rPr>
                <w:noProof/>
                <w:webHidden/>
              </w:rPr>
              <w:t>12</w:t>
            </w:r>
            <w:r w:rsidR="000B79CA">
              <w:rPr>
                <w:noProof/>
                <w:webHidden/>
              </w:rPr>
              <w:fldChar w:fldCharType="end"/>
            </w:r>
          </w:hyperlink>
        </w:p>
        <w:p w14:paraId="69818CC1" w14:textId="38661489" w:rsidR="000B79CA" w:rsidRDefault="005753E1">
          <w:pPr>
            <w:pStyle w:val="Spistreci1"/>
            <w:rPr>
              <w:rFonts w:asciiTheme="minorHAnsi" w:eastAsiaTheme="minorEastAsia" w:hAnsiTheme="minorHAnsi" w:cstheme="minorBidi"/>
              <w:noProof/>
              <w:sz w:val="22"/>
              <w:szCs w:val="22"/>
            </w:rPr>
          </w:pPr>
          <w:hyperlink w:anchor="_Toc110601970" w:history="1">
            <w:r w:rsidR="000B79CA" w:rsidRPr="00DE00DD">
              <w:rPr>
                <w:rStyle w:val="Hipercze"/>
                <w:noProof/>
              </w:rPr>
              <w:t>Rozdział 4. Wybór i rozliczanie projektów</w:t>
            </w:r>
            <w:r w:rsidR="000B79CA">
              <w:rPr>
                <w:noProof/>
                <w:webHidden/>
              </w:rPr>
              <w:tab/>
            </w:r>
            <w:r w:rsidR="000B79CA">
              <w:rPr>
                <w:noProof/>
                <w:webHidden/>
              </w:rPr>
              <w:fldChar w:fldCharType="begin"/>
            </w:r>
            <w:r w:rsidR="000B79CA">
              <w:rPr>
                <w:noProof/>
                <w:webHidden/>
              </w:rPr>
              <w:instrText xml:space="preserve"> PAGEREF _Toc110601970 \h </w:instrText>
            </w:r>
            <w:r w:rsidR="000B79CA">
              <w:rPr>
                <w:noProof/>
                <w:webHidden/>
              </w:rPr>
            </w:r>
            <w:r w:rsidR="000B79CA">
              <w:rPr>
                <w:noProof/>
                <w:webHidden/>
              </w:rPr>
              <w:fldChar w:fldCharType="separate"/>
            </w:r>
            <w:r w:rsidR="00CE3751">
              <w:rPr>
                <w:noProof/>
                <w:webHidden/>
              </w:rPr>
              <w:t>13</w:t>
            </w:r>
            <w:r w:rsidR="000B79CA">
              <w:rPr>
                <w:noProof/>
                <w:webHidden/>
              </w:rPr>
              <w:fldChar w:fldCharType="end"/>
            </w:r>
          </w:hyperlink>
        </w:p>
        <w:p w14:paraId="2A01A686" w14:textId="10DC57A4" w:rsidR="000B79CA" w:rsidRDefault="005753E1">
          <w:pPr>
            <w:pStyle w:val="Spistreci1"/>
            <w:rPr>
              <w:rFonts w:asciiTheme="minorHAnsi" w:eastAsiaTheme="minorEastAsia" w:hAnsiTheme="minorHAnsi" w:cstheme="minorBidi"/>
              <w:noProof/>
              <w:sz w:val="22"/>
              <w:szCs w:val="22"/>
            </w:rPr>
          </w:pPr>
          <w:hyperlink w:anchor="_Toc110601971" w:history="1">
            <w:r w:rsidR="000B79CA" w:rsidRPr="00DE00DD">
              <w:rPr>
                <w:rStyle w:val="Hipercze"/>
                <w:noProof/>
              </w:rPr>
              <w:t>Rozdział 5. Centralny System Teleinformatyczny</w:t>
            </w:r>
            <w:r w:rsidR="000B79CA">
              <w:rPr>
                <w:noProof/>
                <w:webHidden/>
              </w:rPr>
              <w:tab/>
            </w:r>
            <w:r w:rsidR="000B79CA">
              <w:rPr>
                <w:noProof/>
                <w:webHidden/>
              </w:rPr>
              <w:fldChar w:fldCharType="begin"/>
            </w:r>
            <w:r w:rsidR="000B79CA">
              <w:rPr>
                <w:noProof/>
                <w:webHidden/>
              </w:rPr>
              <w:instrText xml:space="preserve"> PAGEREF _Toc110601971 \h </w:instrText>
            </w:r>
            <w:r w:rsidR="000B79CA">
              <w:rPr>
                <w:noProof/>
                <w:webHidden/>
              </w:rPr>
            </w:r>
            <w:r w:rsidR="000B79CA">
              <w:rPr>
                <w:noProof/>
                <w:webHidden/>
              </w:rPr>
              <w:fldChar w:fldCharType="separate"/>
            </w:r>
            <w:r w:rsidR="00CE3751">
              <w:rPr>
                <w:noProof/>
                <w:webHidden/>
              </w:rPr>
              <w:t>16</w:t>
            </w:r>
            <w:r w:rsidR="000B79CA">
              <w:rPr>
                <w:noProof/>
                <w:webHidden/>
              </w:rPr>
              <w:fldChar w:fldCharType="end"/>
            </w:r>
          </w:hyperlink>
        </w:p>
        <w:p w14:paraId="1C5E376D" w14:textId="3B7C6946" w:rsidR="000B79CA" w:rsidRDefault="005753E1">
          <w:pPr>
            <w:pStyle w:val="Spistreci1"/>
            <w:rPr>
              <w:rFonts w:asciiTheme="minorHAnsi" w:eastAsiaTheme="minorEastAsia" w:hAnsiTheme="minorHAnsi" w:cstheme="minorBidi"/>
              <w:noProof/>
              <w:sz w:val="22"/>
              <w:szCs w:val="22"/>
            </w:rPr>
          </w:pPr>
          <w:hyperlink w:anchor="_Toc110601972" w:history="1">
            <w:r w:rsidR="000B79CA" w:rsidRPr="00DE00DD">
              <w:rPr>
                <w:rStyle w:val="Hipercze"/>
                <w:noProof/>
              </w:rPr>
              <w:t>Rozdział 6. Monitorowanie pomocy technicznej</w:t>
            </w:r>
            <w:r w:rsidR="000B79CA">
              <w:rPr>
                <w:noProof/>
                <w:webHidden/>
              </w:rPr>
              <w:tab/>
            </w:r>
            <w:r w:rsidR="000B79CA">
              <w:rPr>
                <w:noProof/>
                <w:webHidden/>
              </w:rPr>
              <w:fldChar w:fldCharType="begin"/>
            </w:r>
            <w:r w:rsidR="000B79CA">
              <w:rPr>
                <w:noProof/>
                <w:webHidden/>
              </w:rPr>
              <w:instrText xml:space="preserve"> PAGEREF _Toc110601972 \h </w:instrText>
            </w:r>
            <w:r w:rsidR="000B79CA">
              <w:rPr>
                <w:noProof/>
                <w:webHidden/>
              </w:rPr>
            </w:r>
            <w:r w:rsidR="000B79CA">
              <w:rPr>
                <w:noProof/>
                <w:webHidden/>
              </w:rPr>
              <w:fldChar w:fldCharType="separate"/>
            </w:r>
            <w:r w:rsidR="00CE3751">
              <w:rPr>
                <w:noProof/>
                <w:webHidden/>
              </w:rPr>
              <w:t>17</w:t>
            </w:r>
            <w:r w:rsidR="000B79CA">
              <w:rPr>
                <w:noProof/>
                <w:webHidden/>
              </w:rPr>
              <w:fldChar w:fldCharType="end"/>
            </w:r>
          </w:hyperlink>
        </w:p>
        <w:p w14:paraId="658114C8" w14:textId="717480E8" w:rsidR="000B79CA" w:rsidRDefault="005753E1">
          <w:pPr>
            <w:pStyle w:val="Spistreci1"/>
            <w:rPr>
              <w:rFonts w:asciiTheme="minorHAnsi" w:eastAsiaTheme="minorEastAsia" w:hAnsiTheme="minorHAnsi" w:cstheme="minorBidi"/>
              <w:noProof/>
              <w:sz w:val="22"/>
              <w:szCs w:val="22"/>
            </w:rPr>
          </w:pPr>
          <w:hyperlink w:anchor="_Toc110601973" w:history="1">
            <w:r w:rsidR="000B79CA" w:rsidRPr="00DE00DD">
              <w:rPr>
                <w:rStyle w:val="Hipercze"/>
                <w:noProof/>
              </w:rPr>
              <w:t>Rozdział 7. Trwałość projektu pomocy technicznej</w:t>
            </w:r>
            <w:r w:rsidR="000B79CA">
              <w:rPr>
                <w:noProof/>
                <w:webHidden/>
              </w:rPr>
              <w:tab/>
            </w:r>
            <w:r w:rsidR="000B79CA">
              <w:rPr>
                <w:noProof/>
                <w:webHidden/>
              </w:rPr>
              <w:fldChar w:fldCharType="begin"/>
            </w:r>
            <w:r w:rsidR="000B79CA">
              <w:rPr>
                <w:noProof/>
                <w:webHidden/>
              </w:rPr>
              <w:instrText xml:space="preserve"> PAGEREF _Toc110601973 \h </w:instrText>
            </w:r>
            <w:r w:rsidR="000B79CA">
              <w:rPr>
                <w:noProof/>
                <w:webHidden/>
              </w:rPr>
            </w:r>
            <w:r w:rsidR="000B79CA">
              <w:rPr>
                <w:noProof/>
                <w:webHidden/>
              </w:rPr>
              <w:fldChar w:fldCharType="separate"/>
            </w:r>
            <w:r w:rsidR="00CE3751">
              <w:rPr>
                <w:noProof/>
                <w:webHidden/>
              </w:rPr>
              <w:t>22</w:t>
            </w:r>
            <w:r w:rsidR="000B79CA">
              <w:rPr>
                <w:noProof/>
                <w:webHidden/>
              </w:rPr>
              <w:fldChar w:fldCharType="end"/>
            </w:r>
          </w:hyperlink>
        </w:p>
        <w:p w14:paraId="240721BD" w14:textId="2833D55C" w:rsidR="000B79CA" w:rsidRDefault="005753E1">
          <w:pPr>
            <w:pStyle w:val="Spistreci1"/>
            <w:rPr>
              <w:rFonts w:asciiTheme="minorHAnsi" w:eastAsiaTheme="minorEastAsia" w:hAnsiTheme="minorHAnsi" w:cstheme="minorBidi"/>
              <w:noProof/>
              <w:sz w:val="22"/>
              <w:szCs w:val="22"/>
            </w:rPr>
          </w:pPr>
          <w:hyperlink w:anchor="_Toc110601974" w:history="1">
            <w:r w:rsidR="000B79CA" w:rsidRPr="00DE00DD">
              <w:rPr>
                <w:rStyle w:val="Hipercze"/>
                <w:noProof/>
              </w:rPr>
              <w:t>Rozdział 8. Koordynacja pomocy technicznej</w:t>
            </w:r>
            <w:r w:rsidR="000B79CA">
              <w:rPr>
                <w:noProof/>
                <w:webHidden/>
              </w:rPr>
              <w:tab/>
            </w:r>
            <w:r w:rsidR="000B79CA">
              <w:rPr>
                <w:noProof/>
                <w:webHidden/>
              </w:rPr>
              <w:fldChar w:fldCharType="begin"/>
            </w:r>
            <w:r w:rsidR="000B79CA">
              <w:rPr>
                <w:noProof/>
                <w:webHidden/>
              </w:rPr>
              <w:instrText xml:space="preserve"> PAGEREF _Toc110601974 \h </w:instrText>
            </w:r>
            <w:r w:rsidR="000B79CA">
              <w:rPr>
                <w:noProof/>
                <w:webHidden/>
              </w:rPr>
            </w:r>
            <w:r w:rsidR="000B79CA">
              <w:rPr>
                <w:noProof/>
                <w:webHidden/>
              </w:rPr>
              <w:fldChar w:fldCharType="separate"/>
            </w:r>
            <w:r w:rsidR="00CE3751">
              <w:rPr>
                <w:noProof/>
                <w:webHidden/>
              </w:rPr>
              <w:t>22</w:t>
            </w:r>
            <w:r w:rsidR="000B79CA">
              <w:rPr>
                <w:noProof/>
                <w:webHidden/>
              </w:rPr>
              <w:fldChar w:fldCharType="end"/>
            </w:r>
          </w:hyperlink>
        </w:p>
        <w:p w14:paraId="40A60469" w14:textId="081E2BB1" w:rsidR="000B79CA" w:rsidRDefault="005753E1">
          <w:pPr>
            <w:pStyle w:val="Spistreci1"/>
            <w:rPr>
              <w:rFonts w:asciiTheme="minorHAnsi" w:eastAsiaTheme="minorEastAsia" w:hAnsiTheme="minorHAnsi" w:cstheme="minorBidi"/>
              <w:noProof/>
              <w:sz w:val="22"/>
              <w:szCs w:val="22"/>
            </w:rPr>
          </w:pPr>
          <w:hyperlink w:anchor="_Toc110601975" w:history="1">
            <w:r w:rsidR="000B79CA" w:rsidRPr="00DE00DD">
              <w:rPr>
                <w:rStyle w:val="Hipercze"/>
                <w:noProof/>
              </w:rPr>
              <w:t>Rozdział 9. Sposoby rozliczania wydatków</w:t>
            </w:r>
            <w:r w:rsidR="000B79CA">
              <w:rPr>
                <w:noProof/>
                <w:webHidden/>
              </w:rPr>
              <w:tab/>
            </w:r>
            <w:r w:rsidR="000B79CA">
              <w:rPr>
                <w:noProof/>
                <w:webHidden/>
              </w:rPr>
              <w:fldChar w:fldCharType="begin"/>
            </w:r>
            <w:r w:rsidR="000B79CA">
              <w:rPr>
                <w:noProof/>
                <w:webHidden/>
              </w:rPr>
              <w:instrText xml:space="preserve"> PAGEREF _Toc110601975 \h </w:instrText>
            </w:r>
            <w:r w:rsidR="000B79CA">
              <w:rPr>
                <w:noProof/>
                <w:webHidden/>
              </w:rPr>
            </w:r>
            <w:r w:rsidR="000B79CA">
              <w:rPr>
                <w:noProof/>
                <w:webHidden/>
              </w:rPr>
              <w:fldChar w:fldCharType="separate"/>
            </w:r>
            <w:r w:rsidR="00CE3751">
              <w:rPr>
                <w:noProof/>
                <w:webHidden/>
              </w:rPr>
              <w:t>23</w:t>
            </w:r>
            <w:r w:rsidR="000B79CA">
              <w:rPr>
                <w:noProof/>
                <w:webHidden/>
              </w:rPr>
              <w:fldChar w:fldCharType="end"/>
            </w:r>
          </w:hyperlink>
        </w:p>
        <w:p w14:paraId="3C040530" w14:textId="21F3F329" w:rsidR="000B79CA" w:rsidRDefault="005753E1" w:rsidP="00CE3751">
          <w:pPr>
            <w:pStyle w:val="Spistreci2"/>
            <w:rPr>
              <w:rFonts w:asciiTheme="minorHAnsi" w:eastAsiaTheme="minorEastAsia" w:hAnsiTheme="minorHAnsi" w:cstheme="minorBidi"/>
              <w:noProof/>
              <w:sz w:val="22"/>
              <w:szCs w:val="22"/>
            </w:rPr>
          </w:pPr>
          <w:hyperlink w:anchor="_Toc110601976" w:history="1">
            <w:r w:rsidR="000B79CA" w:rsidRPr="00DE00DD">
              <w:rPr>
                <w:rStyle w:val="Hipercze"/>
                <w:noProof/>
              </w:rPr>
              <w:t>Podrozdział 9.1 Ogólne zasady rozliczania wydatków</w:t>
            </w:r>
            <w:r w:rsidR="000B79CA">
              <w:rPr>
                <w:noProof/>
                <w:webHidden/>
              </w:rPr>
              <w:tab/>
            </w:r>
            <w:r w:rsidR="000B79CA">
              <w:rPr>
                <w:noProof/>
                <w:webHidden/>
              </w:rPr>
              <w:fldChar w:fldCharType="begin"/>
            </w:r>
            <w:r w:rsidR="000B79CA">
              <w:rPr>
                <w:noProof/>
                <w:webHidden/>
              </w:rPr>
              <w:instrText xml:space="preserve"> PAGEREF _Toc110601976 \h </w:instrText>
            </w:r>
            <w:r w:rsidR="000B79CA">
              <w:rPr>
                <w:noProof/>
                <w:webHidden/>
              </w:rPr>
            </w:r>
            <w:r w:rsidR="000B79CA">
              <w:rPr>
                <w:noProof/>
                <w:webHidden/>
              </w:rPr>
              <w:fldChar w:fldCharType="separate"/>
            </w:r>
            <w:r w:rsidR="00CE3751">
              <w:rPr>
                <w:noProof/>
                <w:webHidden/>
              </w:rPr>
              <w:t>23</w:t>
            </w:r>
            <w:r w:rsidR="000B79CA">
              <w:rPr>
                <w:noProof/>
                <w:webHidden/>
              </w:rPr>
              <w:fldChar w:fldCharType="end"/>
            </w:r>
          </w:hyperlink>
        </w:p>
        <w:p w14:paraId="0147E280" w14:textId="003767F6" w:rsidR="000B79CA" w:rsidRDefault="005753E1" w:rsidP="00617FD3">
          <w:pPr>
            <w:pStyle w:val="Spistreci3"/>
            <w:rPr>
              <w:rFonts w:asciiTheme="minorHAnsi" w:eastAsiaTheme="minorEastAsia" w:hAnsiTheme="minorHAnsi" w:cstheme="minorBidi"/>
              <w:noProof/>
              <w:sz w:val="22"/>
              <w:szCs w:val="22"/>
            </w:rPr>
          </w:pPr>
          <w:hyperlink w:anchor="_Toc110601977" w:history="1">
            <w:r w:rsidR="000B79CA" w:rsidRPr="00DE00DD">
              <w:rPr>
                <w:rStyle w:val="Hipercze"/>
                <w:noProof/>
              </w:rPr>
              <w:t>Sekcja 9.1.1 Wykaz wydatków kwalifikowalnych i niekwalifikowalnych</w:t>
            </w:r>
            <w:r w:rsidR="000B79CA">
              <w:rPr>
                <w:noProof/>
                <w:webHidden/>
              </w:rPr>
              <w:tab/>
            </w:r>
            <w:r w:rsidR="000B79CA">
              <w:rPr>
                <w:noProof/>
                <w:webHidden/>
              </w:rPr>
              <w:fldChar w:fldCharType="begin"/>
            </w:r>
            <w:r w:rsidR="000B79CA">
              <w:rPr>
                <w:noProof/>
                <w:webHidden/>
              </w:rPr>
              <w:instrText xml:space="preserve"> PAGEREF _Toc110601977 \h </w:instrText>
            </w:r>
            <w:r w:rsidR="000B79CA">
              <w:rPr>
                <w:noProof/>
                <w:webHidden/>
              </w:rPr>
            </w:r>
            <w:r w:rsidR="000B79CA">
              <w:rPr>
                <w:noProof/>
                <w:webHidden/>
              </w:rPr>
              <w:fldChar w:fldCharType="separate"/>
            </w:r>
            <w:r w:rsidR="00CE3751">
              <w:rPr>
                <w:noProof/>
                <w:webHidden/>
              </w:rPr>
              <w:t>25</w:t>
            </w:r>
            <w:r w:rsidR="000B79CA">
              <w:rPr>
                <w:noProof/>
                <w:webHidden/>
              </w:rPr>
              <w:fldChar w:fldCharType="end"/>
            </w:r>
          </w:hyperlink>
        </w:p>
        <w:p w14:paraId="3DC8F6BB" w14:textId="6AB0C68A" w:rsidR="000B79CA" w:rsidRDefault="005753E1" w:rsidP="00CE3751">
          <w:pPr>
            <w:pStyle w:val="Spistreci2"/>
            <w:rPr>
              <w:rFonts w:asciiTheme="minorHAnsi" w:eastAsiaTheme="minorEastAsia" w:hAnsiTheme="minorHAnsi" w:cstheme="minorBidi"/>
              <w:noProof/>
              <w:sz w:val="22"/>
              <w:szCs w:val="22"/>
            </w:rPr>
          </w:pPr>
          <w:hyperlink w:anchor="_Toc110601978" w:history="1">
            <w:r w:rsidR="000B79CA" w:rsidRPr="00DE00DD">
              <w:rPr>
                <w:rStyle w:val="Hipercze"/>
                <w:noProof/>
              </w:rPr>
              <w:t>Podrozdział 9.2 Zasady rozliczania wydatków na podstawie kosztów rzeczywistych</w:t>
            </w:r>
            <w:r w:rsidR="000B79CA">
              <w:rPr>
                <w:noProof/>
                <w:webHidden/>
              </w:rPr>
              <w:tab/>
            </w:r>
            <w:r w:rsidR="000B79CA">
              <w:rPr>
                <w:noProof/>
                <w:webHidden/>
              </w:rPr>
              <w:fldChar w:fldCharType="begin"/>
            </w:r>
            <w:r w:rsidR="000B79CA">
              <w:rPr>
                <w:noProof/>
                <w:webHidden/>
              </w:rPr>
              <w:instrText xml:space="preserve"> PAGEREF _Toc110601978 \h </w:instrText>
            </w:r>
            <w:r w:rsidR="000B79CA">
              <w:rPr>
                <w:noProof/>
                <w:webHidden/>
              </w:rPr>
            </w:r>
            <w:r w:rsidR="000B79CA">
              <w:rPr>
                <w:noProof/>
                <w:webHidden/>
              </w:rPr>
              <w:fldChar w:fldCharType="separate"/>
            </w:r>
            <w:r w:rsidR="00CE3751">
              <w:rPr>
                <w:noProof/>
                <w:webHidden/>
              </w:rPr>
              <w:t>31</w:t>
            </w:r>
            <w:r w:rsidR="000B79CA">
              <w:rPr>
                <w:noProof/>
                <w:webHidden/>
              </w:rPr>
              <w:fldChar w:fldCharType="end"/>
            </w:r>
          </w:hyperlink>
        </w:p>
        <w:p w14:paraId="61AE408B" w14:textId="258E05C9" w:rsidR="000B79CA" w:rsidRDefault="005753E1">
          <w:pPr>
            <w:pStyle w:val="Spistreci3"/>
            <w:rPr>
              <w:rFonts w:asciiTheme="minorHAnsi" w:eastAsiaTheme="minorEastAsia" w:hAnsiTheme="minorHAnsi" w:cstheme="minorBidi"/>
              <w:noProof/>
              <w:sz w:val="22"/>
              <w:szCs w:val="22"/>
            </w:rPr>
          </w:pPr>
          <w:hyperlink w:anchor="_Toc110601979" w:history="1">
            <w:r w:rsidR="000B79CA" w:rsidRPr="00DE00DD">
              <w:rPr>
                <w:rStyle w:val="Hipercze"/>
                <w:noProof/>
              </w:rPr>
              <w:t>Sekcja 9.2.1 System finansowania wynagrodzeń</w:t>
            </w:r>
            <w:r w:rsidR="000B79CA">
              <w:rPr>
                <w:noProof/>
                <w:webHidden/>
              </w:rPr>
              <w:tab/>
            </w:r>
            <w:r w:rsidR="000B79CA">
              <w:rPr>
                <w:noProof/>
                <w:webHidden/>
              </w:rPr>
              <w:fldChar w:fldCharType="begin"/>
            </w:r>
            <w:r w:rsidR="000B79CA">
              <w:rPr>
                <w:noProof/>
                <w:webHidden/>
              </w:rPr>
              <w:instrText xml:space="preserve"> PAGEREF _Toc110601979 \h </w:instrText>
            </w:r>
            <w:r w:rsidR="000B79CA">
              <w:rPr>
                <w:noProof/>
                <w:webHidden/>
              </w:rPr>
            </w:r>
            <w:r w:rsidR="000B79CA">
              <w:rPr>
                <w:noProof/>
                <w:webHidden/>
              </w:rPr>
              <w:fldChar w:fldCharType="separate"/>
            </w:r>
            <w:r w:rsidR="00CE3751">
              <w:rPr>
                <w:noProof/>
                <w:webHidden/>
              </w:rPr>
              <w:t>31</w:t>
            </w:r>
            <w:r w:rsidR="000B79CA">
              <w:rPr>
                <w:noProof/>
                <w:webHidden/>
              </w:rPr>
              <w:fldChar w:fldCharType="end"/>
            </w:r>
          </w:hyperlink>
        </w:p>
        <w:p w14:paraId="74EF0D47" w14:textId="5B321E47" w:rsidR="000B79CA" w:rsidRDefault="005753E1">
          <w:pPr>
            <w:pStyle w:val="Spistreci3"/>
            <w:rPr>
              <w:rFonts w:asciiTheme="minorHAnsi" w:eastAsiaTheme="minorEastAsia" w:hAnsiTheme="minorHAnsi" w:cstheme="minorBidi"/>
              <w:noProof/>
              <w:sz w:val="22"/>
              <w:szCs w:val="22"/>
            </w:rPr>
          </w:pPr>
          <w:hyperlink w:anchor="_Toc110601980" w:history="1">
            <w:r w:rsidR="000B79CA" w:rsidRPr="00DE00DD">
              <w:rPr>
                <w:rStyle w:val="Hipercze"/>
                <w:noProof/>
              </w:rPr>
              <w:t>Sekcja 9.2.1.1 Wypłaty z funduszu nagród, nagrody i premie</w:t>
            </w:r>
            <w:r w:rsidR="000B79CA">
              <w:rPr>
                <w:noProof/>
                <w:webHidden/>
              </w:rPr>
              <w:tab/>
            </w:r>
            <w:r w:rsidR="000B79CA">
              <w:rPr>
                <w:noProof/>
                <w:webHidden/>
              </w:rPr>
              <w:fldChar w:fldCharType="begin"/>
            </w:r>
            <w:r w:rsidR="000B79CA">
              <w:rPr>
                <w:noProof/>
                <w:webHidden/>
              </w:rPr>
              <w:instrText xml:space="preserve"> PAGEREF _Toc110601980 \h </w:instrText>
            </w:r>
            <w:r w:rsidR="000B79CA">
              <w:rPr>
                <w:noProof/>
                <w:webHidden/>
              </w:rPr>
            </w:r>
            <w:r w:rsidR="000B79CA">
              <w:rPr>
                <w:noProof/>
                <w:webHidden/>
              </w:rPr>
              <w:fldChar w:fldCharType="separate"/>
            </w:r>
            <w:r w:rsidR="00CE3751">
              <w:rPr>
                <w:noProof/>
                <w:webHidden/>
              </w:rPr>
              <w:t>32</w:t>
            </w:r>
            <w:r w:rsidR="000B79CA">
              <w:rPr>
                <w:noProof/>
                <w:webHidden/>
              </w:rPr>
              <w:fldChar w:fldCharType="end"/>
            </w:r>
          </w:hyperlink>
        </w:p>
        <w:p w14:paraId="11DD5581" w14:textId="6E327277" w:rsidR="000B79CA" w:rsidRDefault="005753E1">
          <w:pPr>
            <w:pStyle w:val="Spistreci3"/>
            <w:rPr>
              <w:rFonts w:asciiTheme="minorHAnsi" w:eastAsiaTheme="minorEastAsia" w:hAnsiTheme="minorHAnsi" w:cstheme="minorBidi"/>
              <w:noProof/>
              <w:sz w:val="22"/>
              <w:szCs w:val="22"/>
            </w:rPr>
          </w:pPr>
          <w:hyperlink w:anchor="_Toc110601981" w:history="1">
            <w:r w:rsidR="000B79CA" w:rsidRPr="00DE00DD">
              <w:rPr>
                <w:rStyle w:val="Hipercze"/>
                <w:noProof/>
              </w:rPr>
              <w:t>Sekcja 9.2.1.2 Wynagrodzenie za czas urlopu</w:t>
            </w:r>
            <w:r w:rsidR="000B79CA">
              <w:rPr>
                <w:noProof/>
                <w:webHidden/>
              </w:rPr>
              <w:tab/>
            </w:r>
            <w:r w:rsidR="000B79CA">
              <w:rPr>
                <w:noProof/>
                <w:webHidden/>
              </w:rPr>
              <w:fldChar w:fldCharType="begin"/>
            </w:r>
            <w:r w:rsidR="000B79CA">
              <w:rPr>
                <w:noProof/>
                <w:webHidden/>
              </w:rPr>
              <w:instrText xml:space="preserve"> PAGEREF _Toc110601981 \h </w:instrText>
            </w:r>
            <w:r w:rsidR="000B79CA">
              <w:rPr>
                <w:noProof/>
                <w:webHidden/>
              </w:rPr>
            </w:r>
            <w:r w:rsidR="000B79CA">
              <w:rPr>
                <w:noProof/>
                <w:webHidden/>
              </w:rPr>
              <w:fldChar w:fldCharType="separate"/>
            </w:r>
            <w:r w:rsidR="00CE3751">
              <w:rPr>
                <w:noProof/>
                <w:webHidden/>
              </w:rPr>
              <w:t>32</w:t>
            </w:r>
            <w:r w:rsidR="000B79CA">
              <w:rPr>
                <w:noProof/>
                <w:webHidden/>
              </w:rPr>
              <w:fldChar w:fldCharType="end"/>
            </w:r>
          </w:hyperlink>
        </w:p>
        <w:p w14:paraId="73260150" w14:textId="6D2FAB94" w:rsidR="000B79CA" w:rsidRDefault="005753E1">
          <w:pPr>
            <w:pStyle w:val="Spistreci3"/>
            <w:rPr>
              <w:rFonts w:asciiTheme="minorHAnsi" w:eastAsiaTheme="minorEastAsia" w:hAnsiTheme="minorHAnsi" w:cstheme="minorBidi"/>
              <w:noProof/>
              <w:sz w:val="22"/>
              <w:szCs w:val="22"/>
            </w:rPr>
          </w:pPr>
          <w:hyperlink w:anchor="_Toc110601982" w:history="1">
            <w:r w:rsidR="000B79CA" w:rsidRPr="00DE00DD">
              <w:rPr>
                <w:rStyle w:val="Hipercze"/>
                <w:noProof/>
              </w:rPr>
              <w:t>Sekcja 9.2.1.3 Inne składniki wynagrodzenia za pracę</w:t>
            </w:r>
            <w:r w:rsidR="000B79CA">
              <w:rPr>
                <w:noProof/>
                <w:webHidden/>
              </w:rPr>
              <w:tab/>
            </w:r>
            <w:r w:rsidR="000B79CA">
              <w:rPr>
                <w:noProof/>
                <w:webHidden/>
              </w:rPr>
              <w:fldChar w:fldCharType="begin"/>
            </w:r>
            <w:r w:rsidR="000B79CA">
              <w:rPr>
                <w:noProof/>
                <w:webHidden/>
              </w:rPr>
              <w:instrText xml:space="preserve"> PAGEREF _Toc110601982 \h </w:instrText>
            </w:r>
            <w:r w:rsidR="000B79CA">
              <w:rPr>
                <w:noProof/>
                <w:webHidden/>
              </w:rPr>
            </w:r>
            <w:r w:rsidR="000B79CA">
              <w:rPr>
                <w:noProof/>
                <w:webHidden/>
              </w:rPr>
              <w:fldChar w:fldCharType="separate"/>
            </w:r>
            <w:r w:rsidR="00CE3751">
              <w:rPr>
                <w:noProof/>
                <w:webHidden/>
              </w:rPr>
              <w:t>33</w:t>
            </w:r>
            <w:r w:rsidR="000B79CA">
              <w:rPr>
                <w:noProof/>
                <w:webHidden/>
              </w:rPr>
              <w:fldChar w:fldCharType="end"/>
            </w:r>
          </w:hyperlink>
        </w:p>
        <w:p w14:paraId="140D56E5" w14:textId="298252DF" w:rsidR="000B79CA" w:rsidRDefault="005753E1">
          <w:pPr>
            <w:pStyle w:val="Spistreci3"/>
            <w:rPr>
              <w:rFonts w:asciiTheme="minorHAnsi" w:eastAsiaTheme="minorEastAsia" w:hAnsiTheme="minorHAnsi" w:cstheme="minorBidi"/>
              <w:noProof/>
              <w:sz w:val="22"/>
              <w:szCs w:val="22"/>
            </w:rPr>
          </w:pPr>
          <w:hyperlink w:anchor="_Toc110601983" w:history="1">
            <w:r w:rsidR="000B79CA" w:rsidRPr="00DE00DD">
              <w:rPr>
                <w:rStyle w:val="Hipercze"/>
                <w:noProof/>
              </w:rPr>
              <w:t>Sekcja 9.2.1.4 Szkolenia</w:t>
            </w:r>
            <w:r w:rsidR="000B79CA">
              <w:rPr>
                <w:noProof/>
                <w:webHidden/>
              </w:rPr>
              <w:tab/>
            </w:r>
            <w:r w:rsidR="000B79CA">
              <w:rPr>
                <w:noProof/>
                <w:webHidden/>
              </w:rPr>
              <w:fldChar w:fldCharType="begin"/>
            </w:r>
            <w:r w:rsidR="000B79CA">
              <w:rPr>
                <w:noProof/>
                <w:webHidden/>
              </w:rPr>
              <w:instrText xml:space="preserve"> PAGEREF _Toc110601983 \h </w:instrText>
            </w:r>
            <w:r w:rsidR="000B79CA">
              <w:rPr>
                <w:noProof/>
                <w:webHidden/>
              </w:rPr>
            </w:r>
            <w:r w:rsidR="000B79CA">
              <w:rPr>
                <w:noProof/>
                <w:webHidden/>
              </w:rPr>
              <w:fldChar w:fldCharType="separate"/>
            </w:r>
            <w:r w:rsidR="00CE3751">
              <w:rPr>
                <w:noProof/>
                <w:webHidden/>
              </w:rPr>
              <w:t>34</w:t>
            </w:r>
            <w:r w:rsidR="000B79CA">
              <w:rPr>
                <w:noProof/>
                <w:webHidden/>
              </w:rPr>
              <w:fldChar w:fldCharType="end"/>
            </w:r>
          </w:hyperlink>
        </w:p>
        <w:p w14:paraId="5ECB5A58" w14:textId="2C3F280A" w:rsidR="000B79CA" w:rsidRDefault="005753E1">
          <w:pPr>
            <w:pStyle w:val="Spistreci3"/>
            <w:rPr>
              <w:rFonts w:asciiTheme="minorHAnsi" w:eastAsiaTheme="minorEastAsia" w:hAnsiTheme="minorHAnsi" w:cstheme="minorBidi"/>
              <w:noProof/>
              <w:sz w:val="22"/>
              <w:szCs w:val="22"/>
            </w:rPr>
          </w:pPr>
          <w:hyperlink w:anchor="_Toc110601984" w:history="1">
            <w:r w:rsidR="000B79CA" w:rsidRPr="00DE00DD">
              <w:rPr>
                <w:rStyle w:val="Hipercze"/>
                <w:noProof/>
              </w:rPr>
              <w:t>Sekcja 9.2.2 Wsparcie funkcjonowania instytucji</w:t>
            </w:r>
            <w:r w:rsidR="000B79CA">
              <w:rPr>
                <w:noProof/>
                <w:webHidden/>
              </w:rPr>
              <w:tab/>
            </w:r>
            <w:r w:rsidR="000B79CA">
              <w:rPr>
                <w:noProof/>
                <w:webHidden/>
              </w:rPr>
              <w:fldChar w:fldCharType="begin"/>
            </w:r>
            <w:r w:rsidR="000B79CA">
              <w:rPr>
                <w:noProof/>
                <w:webHidden/>
              </w:rPr>
              <w:instrText xml:space="preserve"> PAGEREF _Toc110601984 \h </w:instrText>
            </w:r>
            <w:r w:rsidR="000B79CA">
              <w:rPr>
                <w:noProof/>
                <w:webHidden/>
              </w:rPr>
            </w:r>
            <w:r w:rsidR="000B79CA">
              <w:rPr>
                <w:noProof/>
                <w:webHidden/>
              </w:rPr>
              <w:fldChar w:fldCharType="separate"/>
            </w:r>
            <w:r w:rsidR="00CE3751">
              <w:rPr>
                <w:noProof/>
                <w:webHidden/>
              </w:rPr>
              <w:t>37</w:t>
            </w:r>
            <w:r w:rsidR="000B79CA">
              <w:rPr>
                <w:noProof/>
                <w:webHidden/>
              </w:rPr>
              <w:fldChar w:fldCharType="end"/>
            </w:r>
          </w:hyperlink>
        </w:p>
        <w:p w14:paraId="3A55C2ED" w14:textId="3247CCD3" w:rsidR="000B79CA" w:rsidRDefault="005753E1">
          <w:pPr>
            <w:pStyle w:val="Spistreci3"/>
            <w:rPr>
              <w:rFonts w:asciiTheme="minorHAnsi" w:eastAsiaTheme="minorEastAsia" w:hAnsiTheme="minorHAnsi" w:cstheme="minorBidi"/>
              <w:noProof/>
              <w:sz w:val="22"/>
              <w:szCs w:val="22"/>
            </w:rPr>
          </w:pPr>
          <w:hyperlink w:anchor="_Toc110601985" w:history="1">
            <w:r w:rsidR="000B79CA" w:rsidRPr="00DE00DD">
              <w:rPr>
                <w:rStyle w:val="Hipercze"/>
                <w:noProof/>
              </w:rPr>
              <w:t>Sekcja 9.2.2.1 Adaptacja, remont, modernizacja oraz utrzymanie powierzchni</w:t>
            </w:r>
            <w:r w:rsidR="000B79CA">
              <w:rPr>
                <w:noProof/>
                <w:webHidden/>
              </w:rPr>
              <w:tab/>
            </w:r>
            <w:r w:rsidR="000B79CA">
              <w:rPr>
                <w:noProof/>
                <w:webHidden/>
              </w:rPr>
              <w:fldChar w:fldCharType="begin"/>
            </w:r>
            <w:r w:rsidR="000B79CA">
              <w:rPr>
                <w:noProof/>
                <w:webHidden/>
              </w:rPr>
              <w:instrText xml:space="preserve"> PAGEREF _Toc110601985 \h </w:instrText>
            </w:r>
            <w:r w:rsidR="000B79CA">
              <w:rPr>
                <w:noProof/>
                <w:webHidden/>
              </w:rPr>
            </w:r>
            <w:r w:rsidR="000B79CA">
              <w:rPr>
                <w:noProof/>
                <w:webHidden/>
              </w:rPr>
              <w:fldChar w:fldCharType="separate"/>
            </w:r>
            <w:r w:rsidR="00CE3751">
              <w:rPr>
                <w:noProof/>
                <w:webHidden/>
              </w:rPr>
              <w:t>38</w:t>
            </w:r>
            <w:r w:rsidR="000B79CA">
              <w:rPr>
                <w:noProof/>
                <w:webHidden/>
              </w:rPr>
              <w:fldChar w:fldCharType="end"/>
            </w:r>
          </w:hyperlink>
        </w:p>
        <w:p w14:paraId="0723D997" w14:textId="11580B87" w:rsidR="000B79CA" w:rsidRDefault="005753E1">
          <w:pPr>
            <w:pStyle w:val="Spistreci3"/>
            <w:rPr>
              <w:rFonts w:asciiTheme="minorHAnsi" w:eastAsiaTheme="minorEastAsia" w:hAnsiTheme="minorHAnsi" w:cstheme="minorBidi"/>
              <w:noProof/>
              <w:sz w:val="22"/>
              <w:szCs w:val="22"/>
            </w:rPr>
          </w:pPr>
          <w:hyperlink w:anchor="_Toc110601986" w:history="1">
            <w:r w:rsidR="000B79CA" w:rsidRPr="00DE00DD">
              <w:rPr>
                <w:rStyle w:val="Hipercze"/>
                <w:noProof/>
              </w:rPr>
              <w:t>Sekcja 9.2.2.2 Środki transportu</w:t>
            </w:r>
            <w:r w:rsidR="000B79CA">
              <w:rPr>
                <w:noProof/>
                <w:webHidden/>
              </w:rPr>
              <w:tab/>
            </w:r>
            <w:r w:rsidR="000B79CA">
              <w:rPr>
                <w:noProof/>
                <w:webHidden/>
              </w:rPr>
              <w:fldChar w:fldCharType="begin"/>
            </w:r>
            <w:r w:rsidR="000B79CA">
              <w:rPr>
                <w:noProof/>
                <w:webHidden/>
              </w:rPr>
              <w:instrText xml:space="preserve"> PAGEREF _Toc110601986 \h </w:instrText>
            </w:r>
            <w:r w:rsidR="000B79CA">
              <w:rPr>
                <w:noProof/>
                <w:webHidden/>
              </w:rPr>
            </w:r>
            <w:r w:rsidR="000B79CA">
              <w:rPr>
                <w:noProof/>
                <w:webHidden/>
              </w:rPr>
              <w:fldChar w:fldCharType="separate"/>
            </w:r>
            <w:r w:rsidR="00CE3751">
              <w:rPr>
                <w:noProof/>
                <w:webHidden/>
              </w:rPr>
              <w:t>38</w:t>
            </w:r>
            <w:r w:rsidR="000B79CA">
              <w:rPr>
                <w:noProof/>
                <w:webHidden/>
              </w:rPr>
              <w:fldChar w:fldCharType="end"/>
            </w:r>
          </w:hyperlink>
        </w:p>
        <w:p w14:paraId="055F2105" w14:textId="61F786EF" w:rsidR="000B79CA" w:rsidRDefault="005753E1">
          <w:pPr>
            <w:pStyle w:val="Spistreci3"/>
            <w:rPr>
              <w:rFonts w:asciiTheme="minorHAnsi" w:eastAsiaTheme="minorEastAsia" w:hAnsiTheme="minorHAnsi" w:cstheme="minorBidi"/>
              <w:noProof/>
              <w:sz w:val="22"/>
              <w:szCs w:val="22"/>
            </w:rPr>
          </w:pPr>
          <w:hyperlink w:anchor="_Toc110601987" w:history="1">
            <w:r w:rsidR="000B79CA" w:rsidRPr="00DE00DD">
              <w:rPr>
                <w:rStyle w:val="Hipercze"/>
                <w:noProof/>
              </w:rPr>
              <w:t>Sekcja 9.2.2.3 Wyposażenie stanowiska pracy</w:t>
            </w:r>
            <w:r w:rsidR="000B79CA">
              <w:rPr>
                <w:noProof/>
                <w:webHidden/>
              </w:rPr>
              <w:tab/>
            </w:r>
            <w:r w:rsidR="000B79CA">
              <w:rPr>
                <w:noProof/>
                <w:webHidden/>
              </w:rPr>
              <w:fldChar w:fldCharType="begin"/>
            </w:r>
            <w:r w:rsidR="000B79CA">
              <w:rPr>
                <w:noProof/>
                <w:webHidden/>
              </w:rPr>
              <w:instrText xml:space="preserve"> PAGEREF _Toc110601987 \h </w:instrText>
            </w:r>
            <w:r w:rsidR="000B79CA">
              <w:rPr>
                <w:noProof/>
                <w:webHidden/>
              </w:rPr>
            </w:r>
            <w:r w:rsidR="000B79CA">
              <w:rPr>
                <w:noProof/>
                <w:webHidden/>
              </w:rPr>
              <w:fldChar w:fldCharType="separate"/>
            </w:r>
            <w:r w:rsidR="00CE3751">
              <w:rPr>
                <w:noProof/>
                <w:webHidden/>
              </w:rPr>
              <w:t>39</w:t>
            </w:r>
            <w:r w:rsidR="000B79CA">
              <w:rPr>
                <w:noProof/>
                <w:webHidden/>
              </w:rPr>
              <w:fldChar w:fldCharType="end"/>
            </w:r>
          </w:hyperlink>
        </w:p>
        <w:p w14:paraId="2D8261E8" w14:textId="181228F1" w:rsidR="000B79CA" w:rsidRDefault="005753E1">
          <w:pPr>
            <w:pStyle w:val="Spistreci3"/>
            <w:rPr>
              <w:rFonts w:asciiTheme="minorHAnsi" w:eastAsiaTheme="minorEastAsia" w:hAnsiTheme="minorHAnsi" w:cstheme="minorBidi"/>
              <w:noProof/>
              <w:sz w:val="22"/>
              <w:szCs w:val="22"/>
            </w:rPr>
          </w:pPr>
          <w:hyperlink w:anchor="_Toc110601988" w:history="1">
            <w:r w:rsidR="000B79CA" w:rsidRPr="00DE00DD">
              <w:rPr>
                <w:rStyle w:val="Hipercze"/>
                <w:noProof/>
              </w:rPr>
              <w:t>Sekcja 9.2.2.4 Delegacje służbowe</w:t>
            </w:r>
            <w:r w:rsidR="000B79CA">
              <w:rPr>
                <w:noProof/>
                <w:webHidden/>
              </w:rPr>
              <w:tab/>
            </w:r>
            <w:r w:rsidR="000B79CA">
              <w:rPr>
                <w:noProof/>
                <w:webHidden/>
              </w:rPr>
              <w:fldChar w:fldCharType="begin"/>
            </w:r>
            <w:r w:rsidR="000B79CA">
              <w:rPr>
                <w:noProof/>
                <w:webHidden/>
              </w:rPr>
              <w:instrText xml:space="preserve"> PAGEREF _Toc110601988 \h </w:instrText>
            </w:r>
            <w:r w:rsidR="000B79CA">
              <w:rPr>
                <w:noProof/>
                <w:webHidden/>
              </w:rPr>
            </w:r>
            <w:r w:rsidR="000B79CA">
              <w:rPr>
                <w:noProof/>
                <w:webHidden/>
              </w:rPr>
              <w:fldChar w:fldCharType="separate"/>
            </w:r>
            <w:r w:rsidR="00CE3751">
              <w:rPr>
                <w:noProof/>
                <w:webHidden/>
              </w:rPr>
              <w:t>40</w:t>
            </w:r>
            <w:r w:rsidR="000B79CA">
              <w:rPr>
                <w:noProof/>
                <w:webHidden/>
              </w:rPr>
              <w:fldChar w:fldCharType="end"/>
            </w:r>
          </w:hyperlink>
        </w:p>
        <w:p w14:paraId="7DF2D7BF" w14:textId="3E732FBE" w:rsidR="000B79CA" w:rsidRDefault="005753E1">
          <w:pPr>
            <w:pStyle w:val="Spistreci3"/>
            <w:rPr>
              <w:rFonts w:asciiTheme="minorHAnsi" w:eastAsiaTheme="minorEastAsia" w:hAnsiTheme="minorHAnsi" w:cstheme="minorBidi"/>
              <w:noProof/>
              <w:sz w:val="22"/>
              <w:szCs w:val="22"/>
            </w:rPr>
          </w:pPr>
          <w:hyperlink w:anchor="_Toc110601989" w:history="1">
            <w:r w:rsidR="000B79CA" w:rsidRPr="00DE00DD">
              <w:rPr>
                <w:rStyle w:val="Hipercze"/>
                <w:noProof/>
              </w:rPr>
              <w:t>Sekcja 9.2.2.5 Systemy informatyczne</w:t>
            </w:r>
            <w:r w:rsidR="000B79CA">
              <w:rPr>
                <w:noProof/>
                <w:webHidden/>
              </w:rPr>
              <w:tab/>
            </w:r>
            <w:r w:rsidR="000B79CA">
              <w:rPr>
                <w:noProof/>
                <w:webHidden/>
              </w:rPr>
              <w:fldChar w:fldCharType="begin"/>
            </w:r>
            <w:r w:rsidR="000B79CA">
              <w:rPr>
                <w:noProof/>
                <w:webHidden/>
              </w:rPr>
              <w:instrText xml:space="preserve"> PAGEREF _Toc110601989 \h </w:instrText>
            </w:r>
            <w:r w:rsidR="000B79CA">
              <w:rPr>
                <w:noProof/>
                <w:webHidden/>
              </w:rPr>
            </w:r>
            <w:r w:rsidR="000B79CA">
              <w:rPr>
                <w:noProof/>
                <w:webHidden/>
              </w:rPr>
              <w:fldChar w:fldCharType="separate"/>
            </w:r>
            <w:r w:rsidR="00CE3751">
              <w:rPr>
                <w:noProof/>
                <w:webHidden/>
              </w:rPr>
              <w:t>41</w:t>
            </w:r>
            <w:r w:rsidR="000B79CA">
              <w:rPr>
                <w:noProof/>
                <w:webHidden/>
              </w:rPr>
              <w:fldChar w:fldCharType="end"/>
            </w:r>
          </w:hyperlink>
        </w:p>
        <w:p w14:paraId="684BABC0" w14:textId="5CE81224" w:rsidR="000B79CA" w:rsidRDefault="005753E1">
          <w:pPr>
            <w:pStyle w:val="Spistreci3"/>
            <w:rPr>
              <w:rFonts w:asciiTheme="minorHAnsi" w:eastAsiaTheme="minorEastAsia" w:hAnsiTheme="minorHAnsi" w:cstheme="minorBidi"/>
              <w:noProof/>
              <w:sz w:val="22"/>
              <w:szCs w:val="22"/>
            </w:rPr>
          </w:pPr>
          <w:hyperlink w:anchor="_Toc110601990" w:history="1">
            <w:r w:rsidR="000B79CA" w:rsidRPr="00DE00DD">
              <w:rPr>
                <w:rStyle w:val="Hipercze"/>
                <w:noProof/>
              </w:rPr>
              <w:t>Sekcja 9.2.2.6 Informacja i promocja</w:t>
            </w:r>
            <w:r w:rsidR="000B79CA">
              <w:rPr>
                <w:noProof/>
                <w:webHidden/>
              </w:rPr>
              <w:tab/>
            </w:r>
            <w:r w:rsidR="000B79CA">
              <w:rPr>
                <w:noProof/>
                <w:webHidden/>
              </w:rPr>
              <w:fldChar w:fldCharType="begin"/>
            </w:r>
            <w:r w:rsidR="000B79CA">
              <w:rPr>
                <w:noProof/>
                <w:webHidden/>
              </w:rPr>
              <w:instrText xml:space="preserve"> PAGEREF _Toc110601990 \h </w:instrText>
            </w:r>
            <w:r w:rsidR="000B79CA">
              <w:rPr>
                <w:noProof/>
                <w:webHidden/>
              </w:rPr>
            </w:r>
            <w:r w:rsidR="000B79CA">
              <w:rPr>
                <w:noProof/>
                <w:webHidden/>
              </w:rPr>
              <w:fldChar w:fldCharType="separate"/>
            </w:r>
            <w:r w:rsidR="00CE3751">
              <w:rPr>
                <w:noProof/>
                <w:webHidden/>
              </w:rPr>
              <w:t>42</w:t>
            </w:r>
            <w:r w:rsidR="000B79CA">
              <w:rPr>
                <w:noProof/>
                <w:webHidden/>
              </w:rPr>
              <w:fldChar w:fldCharType="end"/>
            </w:r>
          </w:hyperlink>
        </w:p>
        <w:p w14:paraId="3A08DE36" w14:textId="5EB96019" w:rsidR="000B79CA" w:rsidRDefault="005753E1" w:rsidP="00CE3751">
          <w:pPr>
            <w:pStyle w:val="Spistreci2"/>
            <w:rPr>
              <w:rFonts w:asciiTheme="minorHAnsi" w:eastAsiaTheme="minorEastAsia" w:hAnsiTheme="minorHAnsi" w:cstheme="minorBidi"/>
              <w:noProof/>
              <w:sz w:val="22"/>
              <w:szCs w:val="22"/>
            </w:rPr>
          </w:pPr>
          <w:hyperlink w:anchor="_Toc110601991" w:history="1">
            <w:r w:rsidR="000B79CA" w:rsidRPr="00DE00DD">
              <w:rPr>
                <w:rStyle w:val="Hipercze"/>
                <w:noProof/>
              </w:rPr>
              <w:t>Podrozdział 9.3 Stosowanie uproszczonych metod rozliczania wydatków</w:t>
            </w:r>
            <w:r w:rsidR="000B79CA">
              <w:rPr>
                <w:noProof/>
                <w:webHidden/>
              </w:rPr>
              <w:tab/>
            </w:r>
            <w:r w:rsidR="000B79CA">
              <w:rPr>
                <w:noProof/>
                <w:webHidden/>
              </w:rPr>
              <w:fldChar w:fldCharType="begin"/>
            </w:r>
            <w:r w:rsidR="000B79CA">
              <w:rPr>
                <w:noProof/>
                <w:webHidden/>
              </w:rPr>
              <w:instrText xml:space="preserve"> PAGEREF _Toc110601991 \h </w:instrText>
            </w:r>
            <w:r w:rsidR="000B79CA">
              <w:rPr>
                <w:noProof/>
                <w:webHidden/>
              </w:rPr>
            </w:r>
            <w:r w:rsidR="000B79CA">
              <w:rPr>
                <w:noProof/>
                <w:webHidden/>
              </w:rPr>
              <w:fldChar w:fldCharType="separate"/>
            </w:r>
            <w:r w:rsidR="00CE3751">
              <w:rPr>
                <w:noProof/>
                <w:webHidden/>
              </w:rPr>
              <w:t>42</w:t>
            </w:r>
            <w:r w:rsidR="000B79CA">
              <w:rPr>
                <w:noProof/>
                <w:webHidden/>
              </w:rPr>
              <w:fldChar w:fldCharType="end"/>
            </w:r>
          </w:hyperlink>
        </w:p>
        <w:p w14:paraId="3D080298" w14:textId="1D07A4AB" w:rsidR="00115B33" w:rsidRDefault="00115B33" w:rsidP="007C47BC">
          <w:pPr>
            <w:spacing w:before="120" w:after="120" w:line="360" w:lineRule="auto"/>
            <w:rPr>
              <w:noProof/>
            </w:rPr>
          </w:pPr>
          <w:r w:rsidRPr="001D6AF8">
            <w:rPr>
              <w:rFonts w:cs="Arial"/>
              <w:b/>
              <w:bCs/>
              <w:kern w:val="32"/>
            </w:rPr>
            <w:fldChar w:fldCharType="end"/>
          </w:r>
          <w:r>
            <w:rPr>
              <w:b/>
              <w:bCs/>
              <w:noProof/>
            </w:rPr>
            <w:br w:type="page"/>
          </w:r>
        </w:p>
      </w:sdtContent>
    </w:sdt>
    <w:p w14:paraId="1641B34D" w14:textId="07EEC719" w:rsidR="00593D85" w:rsidRPr="00593D85" w:rsidRDefault="001D6AF8" w:rsidP="00C57D65">
      <w:pPr>
        <w:pStyle w:val="Nagwek1"/>
      </w:pPr>
      <w:bookmarkStart w:id="2" w:name="_Toc98428187"/>
      <w:bookmarkStart w:id="3" w:name="_Toc98761659"/>
      <w:bookmarkStart w:id="4" w:name="_Toc98934363"/>
      <w:bookmarkStart w:id="5" w:name="_Toc110601965"/>
      <w:r w:rsidRPr="001D6AF8">
        <w:lastRenderedPageBreak/>
        <w:t>Wykaz skrótów</w:t>
      </w:r>
      <w:bookmarkStart w:id="6" w:name="_Toc98428188"/>
      <w:bookmarkStart w:id="7" w:name="_Toc98761660"/>
      <w:bookmarkStart w:id="8" w:name="_Toc98934364"/>
      <w:bookmarkEnd w:id="2"/>
      <w:bookmarkEnd w:id="3"/>
      <w:bookmarkEnd w:id="4"/>
      <w:bookmarkEnd w:id="5"/>
    </w:p>
    <w:p w14:paraId="7188426C" w14:textId="3A61842B" w:rsidR="00593D85" w:rsidRPr="00593D85" w:rsidRDefault="00593D85" w:rsidP="00593D85">
      <w:pPr>
        <w:spacing w:before="120" w:after="120" w:line="360" w:lineRule="auto"/>
      </w:pPr>
      <w:r w:rsidRPr="00593D85">
        <w:t>BK2021 - Baza Konkurencyjności</w:t>
      </w:r>
    </w:p>
    <w:p w14:paraId="136924F2" w14:textId="225EA952" w:rsidR="00593D85" w:rsidRDefault="00593D85" w:rsidP="00593D85">
      <w:pPr>
        <w:spacing w:before="120" w:after="120" w:line="360" w:lineRule="auto"/>
      </w:pPr>
      <w:r w:rsidRPr="00593D85">
        <w:t>CST2021 – centralny system teleinformatyczny</w:t>
      </w:r>
    </w:p>
    <w:p w14:paraId="249283E9" w14:textId="7524A2CA" w:rsidR="00F10455" w:rsidRPr="00593D85" w:rsidRDefault="00F10455" w:rsidP="00593D85">
      <w:pPr>
        <w:spacing w:before="120" w:after="120" w:line="360" w:lineRule="auto"/>
      </w:pPr>
      <w:r>
        <w:t xml:space="preserve">CEF - </w:t>
      </w:r>
      <w:r w:rsidRPr="00F10455">
        <w:t>Instrument "Łącząc Europę"</w:t>
      </w:r>
      <w:r>
        <w:t xml:space="preserve"> (ang. Connecting Europe Facility)</w:t>
      </w:r>
    </w:p>
    <w:p w14:paraId="43BB0732" w14:textId="1BFF78D8" w:rsidR="00593D85" w:rsidRPr="00593D85" w:rsidRDefault="00593D85" w:rsidP="00593D85">
      <w:pPr>
        <w:spacing w:before="120" w:after="120" w:line="360" w:lineRule="auto"/>
      </w:pPr>
      <w:r w:rsidRPr="00593D85">
        <w:t xml:space="preserve">DWR – dodatkowe wynagrodzenie roczne, wypłacane na podstawie ustawy z dnia </w:t>
      </w:r>
      <w:r w:rsidR="008E1F3C" w:rsidRPr="00593D85">
        <w:t>12</w:t>
      </w:r>
      <w:r w:rsidR="008E1F3C">
        <w:t> </w:t>
      </w:r>
      <w:r w:rsidRPr="00593D85">
        <w:t>grudnia 1997 r. o dodatkowym wynagrodzeniu rocznym dla pracowników jednostek sfery budżetowej (Dz.U.</w:t>
      </w:r>
      <w:r w:rsidR="008E1F3C">
        <w:t xml:space="preserve"> z</w:t>
      </w:r>
      <w:r w:rsidRPr="00593D85">
        <w:t xml:space="preserve"> 2018 poz. 1872)</w:t>
      </w:r>
    </w:p>
    <w:p w14:paraId="790FD43D" w14:textId="77777777" w:rsidR="00593D85" w:rsidRPr="00593D85" w:rsidRDefault="00593D85" w:rsidP="00593D85">
      <w:pPr>
        <w:spacing w:before="120" w:after="120" w:line="360" w:lineRule="auto"/>
      </w:pPr>
      <w:r w:rsidRPr="00593D85">
        <w:t>EFRR – Europejski Fundusz Rozwoju Regionalnego</w:t>
      </w:r>
    </w:p>
    <w:p w14:paraId="6F4E2882" w14:textId="77777777" w:rsidR="00593D85" w:rsidRPr="00593D85" w:rsidRDefault="00593D85" w:rsidP="00593D85">
      <w:pPr>
        <w:spacing w:before="120" w:after="120" w:line="360" w:lineRule="auto"/>
      </w:pPr>
      <w:r w:rsidRPr="00593D85">
        <w:t>EFS+ – Europejski Fundusz Społeczny Plus</w:t>
      </w:r>
    </w:p>
    <w:p w14:paraId="24750946" w14:textId="32CBB077" w:rsidR="00593D85" w:rsidRPr="00593D85" w:rsidRDefault="00593D85" w:rsidP="00593D85">
      <w:pPr>
        <w:spacing w:before="120" w:after="120" w:line="360" w:lineRule="auto"/>
      </w:pPr>
      <w:r w:rsidRPr="00593D85">
        <w:t>GS PT – Grupa Sterująca do spraw Pomocy Technicznej</w:t>
      </w:r>
    </w:p>
    <w:p w14:paraId="38F19A9F" w14:textId="4B3D8F56" w:rsidR="00593D85" w:rsidRPr="00593D85" w:rsidRDefault="00593D85" w:rsidP="00593D85">
      <w:pPr>
        <w:spacing w:before="120" w:after="120" w:line="360" w:lineRule="auto"/>
      </w:pPr>
      <w:r w:rsidRPr="00593D85">
        <w:t>IK PT– instytucja koordynująca w zakresie pomocy technicznej</w:t>
      </w:r>
    </w:p>
    <w:p w14:paraId="27C59796" w14:textId="77777777" w:rsidR="00593D85" w:rsidRPr="00593D85" w:rsidRDefault="00593D85" w:rsidP="00593D85">
      <w:pPr>
        <w:spacing w:before="120" w:after="120" w:line="360" w:lineRule="auto"/>
      </w:pPr>
      <w:r w:rsidRPr="00593D85">
        <w:t>IP – instytucja pośrednicząca</w:t>
      </w:r>
    </w:p>
    <w:p w14:paraId="62551674" w14:textId="7A51DEF7" w:rsidR="00593D85" w:rsidRPr="00593D85" w:rsidRDefault="00F10455" w:rsidP="00593D85">
      <w:pPr>
        <w:spacing w:before="120" w:after="120" w:line="360" w:lineRule="auto"/>
      </w:pPr>
      <w:r>
        <w:t>IW</w:t>
      </w:r>
      <w:r w:rsidRPr="00593D85">
        <w:t xml:space="preserve"> </w:t>
      </w:r>
      <w:r w:rsidR="00593D85" w:rsidRPr="00593D85">
        <w:t xml:space="preserve">– instytucja </w:t>
      </w:r>
      <w:r>
        <w:t>wdrażająca</w:t>
      </w:r>
    </w:p>
    <w:p w14:paraId="754B4C7C" w14:textId="7853A514" w:rsidR="00593D85" w:rsidRDefault="00593D85" w:rsidP="00593D85">
      <w:pPr>
        <w:spacing w:before="120" w:after="120" w:line="360" w:lineRule="auto"/>
      </w:pPr>
      <w:r w:rsidRPr="00593D85">
        <w:t xml:space="preserve">IZ – instytucja zarządzająca </w:t>
      </w:r>
    </w:p>
    <w:p w14:paraId="3BF0DD5D" w14:textId="2C16DF4D" w:rsidR="00422955" w:rsidRPr="00593D85" w:rsidRDefault="00422955" w:rsidP="00593D85">
      <w:pPr>
        <w:spacing w:before="120" w:after="120" w:line="360" w:lineRule="auto"/>
      </w:pPr>
      <w:r>
        <w:t>IA- instytucja audytowa</w:t>
      </w:r>
    </w:p>
    <w:p w14:paraId="64C223E9" w14:textId="77777777" w:rsidR="00593D85" w:rsidRPr="00593D85" w:rsidRDefault="00593D85" w:rsidP="00593D85">
      <w:pPr>
        <w:spacing w:before="120" w:after="120" w:line="360" w:lineRule="auto"/>
      </w:pPr>
      <w:r w:rsidRPr="00593D85">
        <w:t>IZ PT FE – Instytucja Zarządzająca PT FE</w:t>
      </w:r>
    </w:p>
    <w:p w14:paraId="06E88D05" w14:textId="31E39C5F" w:rsidR="00593D85" w:rsidRPr="00593D85" w:rsidRDefault="00593D85" w:rsidP="00593D85">
      <w:pPr>
        <w:spacing w:before="120" w:after="120" w:line="360" w:lineRule="auto"/>
      </w:pPr>
      <w:r w:rsidRPr="00593D85">
        <w:t>KM – komitet monitorujący program</w:t>
      </w:r>
    </w:p>
    <w:p w14:paraId="2276B775" w14:textId="77777777" w:rsidR="00593D85" w:rsidRPr="00593D85" w:rsidRDefault="00593D85" w:rsidP="00593D85">
      <w:pPr>
        <w:spacing w:before="120" w:after="120" w:line="360" w:lineRule="auto"/>
      </w:pPr>
      <w:r w:rsidRPr="00593D85">
        <w:t>LWK - Lista Wskaźników Kluczowych</w:t>
      </w:r>
    </w:p>
    <w:p w14:paraId="3F68D7A6" w14:textId="77777777" w:rsidR="00593D85" w:rsidRPr="00593D85" w:rsidRDefault="00593D85" w:rsidP="00593D85">
      <w:pPr>
        <w:spacing w:before="120" w:after="120" w:line="360" w:lineRule="auto"/>
      </w:pPr>
      <w:r w:rsidRPr="00593D85">
        <w:t>PT – pomoc techniczna</w:t>
      </w:r>
    </w:p>
    <w:p w14:paraId="3425D478" w14:textId="77777777" w:rsidR="00593D85" w:rsidRPr="00593D85" w:rsidRDefault="00593D85" w:rsidP="00593D85">
      <w:pPr>
        <w:spacing w:before="120" w:after="120" w:line="360" w:lineRule="auto"/>
      </w:pPr>
      <w:r w:rsidRPr="00593D85">
        <w:t>PT FE – program Pomoc Techniczna dla Funduszy Europejskich 2021-2027</w:t>
      </w:r>
    </w:p>
    <w:p w14:paraId="2A54DF47" w14:textId="032F03E4" w:rsidR="00593D85" w:rsidRDefault="00593D85" w:rsidP="00593D85">
      <w:pPr>
        <w:spacing w:before="120" w:after="120" w:line="360" w:lineRule="auto"/>
      </w:pPr>
      <w:r w:rsidRPr="00593D85">
        <w:t>PZZL – Plan zarządzania zasobami ludzkimi dla instytucji administracji publicznej zaangażowanych we wdrażanie Polityki Spójności na lata 2021-2027</w:t>
      </w:r>
    </w:p>
    <w:p w14:paraId="3DB50231" w14:textId="59EC2ECD" w:rsidR="00475A64" w:rsidRPr="00593D85" w:rsidRDefault="00475A64" w:rsidP="00593D85">
      <w:pPr>
        <w:spacing w:before="120" w:after="120" w:line="360" w:lineRule="auto"/>
      </w:pPr>
      <w:r w:rsidRPr="00475A64">
        <w:t>SL2021</w:t>
      </w:r>
      <w:r>
        <w:t xml:space="preserve"> - </w:t>
      </w:r>
      <w:r w:rsidRPr="006A610D">
        <w:rPr>
          <w:rFonts w:cs="Arial"/>
        </w:rPr>
        <w:t>aplikacja wspierając</w:t>
      </w:r>
      <w:r>
        <w:rPr>
          <w:rFonts w:cs="Arial"/>
        </w:rPr>
        <w:t>a realizację projektów</w:t>
      </w:r>
    </w:p>
    <w:p w14:paraId="15067EE9" w14:textId="77777777" w:rsidR="00593D85" w:rsidRPr="00593D85" w:rsidRDefault="00593D85" w:rsidP="00593D85">
      <w:pPr>
        <w:spacing w:before="120" w:after="120" w:line="360" w:lineRule="auto"/>
      </w:pPr>
      <w:r w:rsidRPr="00593D85">
        <w:t>SzOP – szczegółowy opis priorytetów programu</w:t>
      </w:r>
    </w:p>
    <w:p w14:paraId="353F7B80" w14:textId="77777777" w:rsidR="00593D85" w:rsidRPr="00593D85" w:rsidRDefault="00593D85" w:rsidP="00593D85">
      <w:pPr>
        <w:spacing w:before="120" w:after="120" w:line="360" w:lineRule="auto"/>
      </w:pPr>
      <w:r w:rsidRPr="00593D85">
        <w:t>UE – Unia Europejska</w:t>
      </w:r>
    </w:p>
    <w:p w14:paraId="5F71A295" w14:textId="2404A894" w:rsidR="00593D85" w:rsidRDefault="00593D85" w:rsidP="00593D85">
      <w:pPr>
        <w:spacing w:before="120" w:after="120" w:line="360" w:lineRule="auto"/>
      </w:pPr>
      <w:r w:rsidRPr="00593D85">
        <w:t>UP – umowa partnerstwa</w:t>
      </w:r>
    </w:p>
    <w:p w14:paraId="3544D0C6" w14:textId="6421ECC4" w:rsidR="00475A64" w:rsidRPr="009C41F7" w:rsidRDefault="00475A64" w:rsidP="00475A64">
      <w:pPr>
        <w:spacing w:before="120" w:after="120" w:line="360" w:lineRule="auto"/>
        <w:rPr>
          <w:rFonts w:cs="Arial"/>
          <w:bCs/>
        </w:rPr>
      </w:pPr>
      <w:r w:rsidRPr="007C47BC">
        <w:rPr>
          <w:rFonts w:cs="Arial"/>
        </w:rPr>
        <w:lastRenderedPageBreak/>
        <w:t>WOD2021</w:t>
      </w:r>
      <w:r w:rsidRPr="006A610D">
        <w:rPr>
          <w:rFonts w:cs="Arial"/>
        </w:rPr>
        <w:t xml:space="preserve"> - aplikacja dedykowana prowadzeniu i dokumentowaniu procesu wyboru projektów do dofinansowania</w:t>
      </w:r>
    </w:p>
    <w:p w14:paraId="25771A1A" w14:textId="77777777" w:rsidR="00593D85" w:rsidRPr="00593D85" w:rsidRDefault="00593D85" w:rsidP="00593D85">
      <w:pPr>
        <w:spacing w:before="120" w:after="120" w:line="360" w:lineRule="auto"/>
      </w:pPr>
      <w:r w:rsidRPr="00593D85">
        <w:t>ZIT – Zintegrowane Inwestycje Terytorialne</w:t>
      </w:r>
    </w:p>
    <w:p w14:paraId="5D336B35" w14:textId="77777777" w:rsidR="00593D85" w:rsidRDefault="00593D85" w:rsidP="00593D85">
      <w:pPr>
        <w:spacing w:before="120" w:after="120" w:line="360" w:lineRule="auto"/>
        <w:rPr>
          <w:b/>
          <w:bCs/>
        </w:rPr>
      </w:pPr>
      <w:r w:rsidRPr="00593D85">
        <w:t>ZZL – zarządzanie zasobami ludzkimi</w:t>
      </w:r>
    </w:p>
    <w:p w14:paraId="1E552614" w14:textId="3C7626C0" w:rsidR="001D6AF8" w:rsidRPr="001D6AF8" w:rsidRDefault="001D6AF8" w:rsidP="00C57D65">
      <w:pPr>
        <w:pStyle w:val="Nagwek1"/>
      </w:pPr>
      <w:bookmarkStart w:id="9" w:name="_Toc110601966"/>
      <w:r w:rsidRPr="001D6AF8">
        <w:t>Wykaz pojęć</w:t>
      </w:r>
      <w:bookmarkEnd w:id="6"/>
      <w:bookmarkEnd w:id="7"/>
      <w:bookmarkEnd w:id="8"/>
      <w:bookmarkEnd w:id="9"/>
    </w:p>
    <w:p w14:paraId="156E03E9" w14:textId="77777777" w:rsidR="00593D85" w:rsidRDefault="00593D85" w:rsidP="00593D85">
      <w:pPr>
        <w:spacing w:before="120" w:after="120" w:line="360" w:lineRule="auto"/>
        <w:rPr>
          <w:rFonts w:cs="Arial"/>
          <w:bCs/>
        </w:rPr>
      </w:pPr>
      <w:r w:rsidRPr="0071733B">
        <w:rPr>
          <w:rFonts w:cs="Arial"/>
          <w:b/>
        </w:rPr>
        <w:t>Beneficjent</w:t>
      </w:r>
      <w:r w:rsidRPr="009C41F7">
        <w:rPr>
          <w:rFonts w:cs="Arial"/>
          <w:bCs/>
        </w:rPr>
        <w:t xml:space="preserve"> – podmiot o którym mowa w art. 2 pkt 1 ustawy wdrożeniowej,</w:t>
      </w:r>
    </w:p>
    <w:p w14:paraId="3898C083" w14:textId="77777777" w:rsidR="00593D85" w:rsidRPr="00A67D8F" w:rsidRDefault="00593D85" w:rsidP="00593D85">
      <w:pPr>
        <w:spacing w:before="120" w:after="120" w:line="360" w:lineRule="auto"/>
        <w:rPr>
          <w:rFonts w:cs="Arial"/>
          <w:bCs/>
        </w:rPr>
      </w:pPr>
      <w:r w:rsidRPr="00226122">
        <w:rPr>
          <w:rFonts w:cs="Arial"/>
          <w:b/>
          <w:bCs/>
        </w:rPr>
        <w:t>Baza Konkurencyjności</w:t>
      </w:r>
      <w:r w:rsidRPr="00A67D8F">
        <w:rPr>
          <w:rFonts w:cs="Arial"/>
        </w:rPr>
        <w:t xml:space="preserve"> - aplikacja wspierająca realizację zasady</w:t>
      </w:r>
      <w:r>
        <w:rPr>
          <w:rFonts w:cs="Arial"/>
        </w:rPr>
        <w:t>,</w:t>
      </w:r>
      <w:r w:rsidRPr="00A67D8F">
        <w:rPr>
          <w:rFonts w:cs="Arial"/>
        </w:rPr>
        <w:t xml:space="preserve"> konkurencyjności, o</w:t>
      </w:r>
      <w:r>
        <w:rPr>
          <w:rFonts w:cs="Arial"/>
        </w:rPr>
        <w:t> </w:t>
      </w:r>
      <w:r w:rsidRPr="00A67D8F">
        <w:rPr>
          <w:rFonts w:cs="Arial"/>
        </w:rPr>
        <w:t xml:space="preserve">której mowa w </w:t>
      </w:r>
      <w:r>
        <w:rPr>
          <w:rFonts w:cs="Arial"/>
        </w:rPr>
        <w:t>wytycznych</w:t>
      </w:r>
      <w:r w:rsidRPr="00A67D8F">
        <w:rPr>
          <w:rFonts w:cs="Arial"/>
        </w:rPr>
        <w:t xml:space="preserve"> dotycząc</w:t>
      </w:r>
      <w:r>
        <w:rPr>
          <w:rFonts w:cs="Arial"/>
        </w:rPr>
        <w:t>ych</w:t>
      </w:r>
      <w:r w:rsidRPr="00A67D8F">
        <w:rPr>
          <w:rFonts w:cs="Arial"/>
        </w:rPr>
        <w:t xml:space="preserve"> kwalifikowalności wydatków na lata 2021-2027</w:t>
      </w:r>
      <w:r>
        <w:rPr>
          <w:rFonts w:cs="Arial"/>
        </w:rPr>
        <w:t>,</w:t>
      </w:r>
    </w:p>
    <w:p w14:paraId="571E2446" w14:textId="4ADA8A25" w:rsidR="00593D85" w:rsidRDefault="00593D85" w:rsidP="00593D85">
      <w:pPr>
        <w:spacing w:before="120" w:after="120" w:line="360" w:lineRule="auto"/>
        <w:rPr>
          <w:rFonts w:cs="Arial"/>
          <w:bCs/>
        </w:rPr>
      </w:pPr>
      <w:r w:rsidRPr="00A67D8F">
        <w:rPr>
          <w:rFonts w:cs="Arial"/>
          <w:b/>
        </w:rPr>
        <w:t>Centralny system teleinformatyczny</w:t>
      </w:r>
      <w:r w:rsidRPr="009C41F7">
        <w:rPr>
          <w:rFonts w:cs="Arial"/>
          <w:bCs/>
        </w:rPr>
        <w:t xml:space="preserve"> – system </w:t>
      </w:r>
      <w:r w:rsidR="0036452A">
        <w:rPr>
          <w:rFonts w:cs="Arial"/>
          <w:bCs/>
        </w:rPr>
        <w:t>tele</w:t>
      </w:r>
      <w:r w:rsidRPr="009C41F7">
        <w:rPr>
          <w:rFonts w:cs="Arial"/>
          <w:bCs/>
        </w:rPr>
        <w:t>informatyczny</w:t>
      </w:r>
      <w:r>
        <w:rPr>
          <w:rFonts w:cs="Arial"/>
          <w:bCs/>
        </w:rPr>
        <w:t xml:space="preserve"> wspierający realizację programów,</w:t>
      </w:r>
      <w:r w:rsidRPr="009C41F7">
        <w:rPr>
          <w:rFonts w:cs="Arial"/>
          <w:bCs/>
        </w:rPr>
        <w:t xml:space="preserve"> o którym mowa w art. 2 pkt 29 ustawy wdrożeniowej</w:t>
      </w:r>
      <w:r>
        <w:rPr>
          <w:rFonts w:cs="Arial"/>
          <w:bCs/>
        </w:rPr>
        <w:t>,</w:t>
      </w:r>
      <w:r w:rsidRPr="009C41F7">
        <w:rPr>
          <w:rFonts w:cs="Arial"/>
          <w:bCs/>
        </w:rPr>
        <w:t xml:space="preserve"> </w:t>
      </w:r>
    </w:p>
    <w:p w14:paraId="3A628498" w14:textId="03F2BF0F" w:rsidR="00593D85" w:rsidRDefault="00593D85" w:rsidP="00593D85">
      <w:pPr>
        <w:spacing w:before="120" w:after="120" w:line="360" w:lineRule="auto"/>
      </w:pPr>
      <w:r w:rsidRPr="0097614B">
        <w:rPr>
          <w:rFonts w:cs="Arial"/>
          <w:b/>
        </w:rPr>
        <w:t>Instytucja</w:t>
      </w:r>
      <w:r w:rsidRPr="0097614B">
        <w:rPr>
          <w:rFonts w:cs="Arial"/>
          <w:bCs/>
        </w:rPr>
        <w:t xml:space="preserve"> – instytucja IZ, IP, </w:t>
      </w:r>
      <w:r w:rsidR="00F10455" w:rsidRPr="0097614B">
        <w:rPr>
          <w:rFonts w:cs="Arial"/>
          <w:bCs/>
        </w:rPr>
        <w:t>I</w:t>
      </w:r>
      <w:r w:rsidR="00F10455">
        <w:rPr>
          <w:rFonts w:cs="Arial"/>
          <w:bCs/>
        </w:rPr>
        <w:t>W</w:t>
      </w:r>
      <w:r w:rsidR="00F10455" w:rsidRPr="0097614B">
        <w:rPr>
          <w:rFonts w:cs="Arial"/>
          <w:bCs/>
        </w:rPr>
        <w:t xml:space="preserve"> </w:t>
      </w:r>
      <w:r w:rsidRPr="0097614B">
        <w:rPr>
          <w:rFonts w:cs="Arial"/>
          <w:bCs/>
        </w:rPr>
        <w:t>ustanowiona dla danego programu oraz instytucja o charakterze horyzontalnym będąca beneficjentem PT FE odpowiedzialna za zadania w obszarze polityki spójności,</w:t>
      </w:r>
      <w:r w:rsidRPr="00843AEB">
        <w:t xml:space="preserve"> </w:t>
      </w:r>
    </w:p>
    <w:p w14:paraId="70859C06" w14:textId="77777777" w:rsidR="00593D85" w:rsidRPr="009C41F7" w:rsidRDefault="00593D85" w:rsidP="00593D85">
      <w:pPr>
        <w:tabs>
          <w:tab w:val="left" w:pos="142"/>
        </w:tabs>
        <w:spacing w:before="120" w:after="120" w:line="360" w:lineRule="auto"/>
        <w:rPr>
          <w:rFonts w:cs="Arial"/>
          <w:bCs/>
        </w:rPr>
      </w:pPr>
      <w:r w:rsidRPr="0071733B">
        <w:rPr>
          <w:rFonts w:cs="Arial"/>
          <w:b/>
        </w:rPr>
        <w:t>Koszty bezpośrednie projektu</w:t>
      </w:r>
      <w:r w:rsidRPr="009C41F7">
        <w:rPr>
          <w:rFonts w:cs="Arial"/>
          <w:bCs/>
        </w:rPr>
        <w:t xml:space="preserve"> –</w:t>
      </w:r>
      <w:r>
        <w:rPr>
          <w:rFonts w:cs="Arial"/>
          <w:bCs/>
        </w:rPr>
        <w:t xml:space="preserve"> </w:t>
      </w:r>
      <w:r w:rsidRPr="009C41F7">
        <w:rPr>
          <w:rFonts w:cs="Arial"/>
          <w:bCs/>
        </w:rPr>
        <w:t xml:space="preserve">koszty niezbędne do realizacji projektu, które można bezpośrednio przypisać </w:t>
      </w:r>
      <w:r>
        <w:rPr>
          <w:rFonts w:cs="Arial"/>
          <w:bCs/>
        </w:rPr>
        <w:t xml:space="preserve">do głównego celu </w:t>
      </w:r>
      <w:r w:rsidRPr="009C41F7">
        <w:rPr>
          <w:rFonts w:cs="Arial"/>
          <w:bCs/>
        </w:rPr>
        <w:t>projektu,</w:t>
      </w:r>
    </w:p>
    <w:p w14:paraId="50BF8618" w14:textId="3CA385B4" w:rsidR="00593D85" w:rsidRDefault="00593D85" w:rsidP="00593D85">
      <w:pPr>
        <w:spacing w:before="120" w:after="120" w:line="360" w:lineRule="auto"/>
        <w:rPr>
          <w:rFonts w:cs="Arial"/>
          <w:bCs/>
        </w:rPr>
      </w:pPr>
      <w:r w:rsidRPr="0071733B">
        <w:rPr>
          <w:rFonts w:cs="Arial"/>
          <w:b/>
        </w:rPr>
        <w:t>Koszty pośrednie projektu</w:t>
      </w:r>
      <w:r w:rsidRPr="009C41F7">
        <w:rPr>
          <w:rFonts w:cs="Arial"/>
          <w:bCs/>
        </w:rPr>
        <w:t xml:space="preserve"> – </w:t>
      </w:r>
      <w:r w:rsidR="00C57D65">
        <w:rPr>
          <w:rFonts w:cs="Arial"/>
          <w:bCs/>
        </w:rPr>
        <w:t>koszty</w:t>
      </w:r>
      <w:r w:rsidR="00FF66C6">
        <w:rPr>
          <w:rFonts w:cs="Arial"/>
          <w:bCs/>
        </w:rPr>
        <w:t>,</w:t>
      </w:r>
      <w:r w:rsidR="00C57D65">
        <w:rPr>
          <w:rFonts w:cs="Arial"/>
          <w:bCs/>
        </w:rPr>
        <w:t xml:space="preserve"> o których mowa</w:t>
      </w:r>
      <w:r w:rsidRPr="009C41F7">
        <w:rPr>
          <w:rFonts w:cs="Arial"/>
          <w:bCs/>
        </w:rPr>
        <w:t xml:space="preserve"> w</w:t>
      </w:r>
      <w:r w:rsidRPr="009C41F7" w:rsidDel="00084A51">
        <w:rPr>
          <w:rFonts w:cs="Arial"/>
          <w:bCs/>
        </w:rPr>
        <w:t xml:space="preserve"> </w:t>
      </w:r>
      <w:r>
        <w:rPr>
          <w:rFonts w:cs="Arial"/>
          <w:bCs/>
        </w:rPr>
        <w:t>W</w:t>
      </w:r>
      <w:r w:rsidRPr="00177A01">
        <w:rPr>
          <w:rFonts w:cs="Arial"/>
          <w:bCs/>
        </w:rPr>
        <w:t>ytyczn</w:t>
      </w:r>
      <w:r>
        <w:rPr>
          <w:rFonts w:cs="Arial"/>
          <w:bCs/>
        </w:rPr>
        <w:t>ych</w:t>
      </w:r>
      <w:r w:rsidRPr="00177A01">
        <w:rPr>
          <w:rFonts w:cs="Arial"/>
          <w:bCs/>
        </w:rPr>
        <w:t xml:space="preserve"> dotycząc</w:t>
      </w:r>
      <w:r>
        <w:rPr>
          <w:rFonts w:cs="Arial"/>
          <w:bCs/>
        </w:rPr>
        <w:t>ych</w:t>
      </w:r>
      <w:r w:rsidRPr="00177A01">
        <w:rPr>
          <w:rFonts w:cs="Arial"/>
          <w:bCs/>
        </w:rPr>
        <w:t xml:space="preserve"> kwalifikowalności wydatków na lata 2021-2027</w:t>
      </w:r>
      <w:r w:rsidR="005F5FF2">
        <w:rPr>
          <w:rFonts w:cs="Arial"/>
          <w:bCs/>
        </w:rPr>
        <w:t>,</w:t>
      </w:r>
      <w:r>
        <w:rPr>
          <w:rFonts w:cs="Arial"/>
          <w:bCs/>
        </w:rPr>
        <w:t xml:space="preserve"> </w:t>
      </w:r>
    </w:p>
    <w:p w14:paraId="413CB33F" w14:textId="3CBC757B" w:rsidR="001A694C" w:rsidRDefault="001A694C" w:rsidP="00593D85">
      <w:pPr>
        <w:spacing w:before="120" w:after="120" w:line="360" w:lineRule="auto"/>
        <w:rPr>
          <w:rFonts w:cs="Arial"/>
          <w:bCs/>
        </w:rPr>
      </w:pPr>
      <w:r w:rsidRPr="007C47BC">
        <w:rPr>
          <w:rFonts w:cs="Arial"/>
          <w:b/>
        </w:rPr>
        <w:t>Kwartał</w:t>
      </w:r>
      <w:r>
        <w:rPr>
          <w:rFonts w:cs="Arial"/>
          <w:bCs/>
        </w:rPr>
        <w:t xml:space="preserve"> – </w:t>
      </w:r>
      <w:r w:rsidR="002F0648">
        <w:rPr>
          <w:rFonts w:cs="Arial"/>
        </w:rPr>
        <w:t xml:space="preserve">należy przez to rozumieć </w:t>
      </w:r>
      <w:r>
        <w:rPr>
          <w:rFonts w:cs="Arial"/>
          <w:bCs/>
        </w:rPr>
        <w:t>kwartał kalendarzowy</w:t>
      </w:r>
      <w:r w:rsidR="007C47BC">
        <w:rPr>
          <w:rFonts w:cs="Arial"/>
          <w:bCs/>
        </w:rPr>
        <w:t>,</w:t>
      </w:r>
    </w:p>
    <w:p w14:paraId="614FB0CD" w14:textId="24F3BC1D" w:rsidR="007C47BC" w:rsidRPr="009C41F7" w:rsidRDefault="007C47BC" w:rsidP="00593D85">
      <w:pPr>
        <w:spacing w:before="120" w:after="120" w:line="360" w:lineRule="auto"/>
        <w:rPr>
          <w:rFonts w:cs="Arial"/>
          <w:bCs/>
        </w:rPr>
      </w:pPr>
      <w:r>
        <w:rPr>
          <w:rFonts w:cs="Arial"/>
          <w:bCs/>
        </w:rPr>
        <w:t xml:space="preserve">Miesiąc - </w:t>
      </w:r>
      <w:r>
        <w:rPr>
          <w:rFonts w:cs="Arial"/>
        </w:rPr>
        <w:t xml:space="preserve">należy przez to rozumieć </w:t>
      </w:r>
      <w:r>
        <w:rPr>
          <w:rFonts w:cs="Arial"/>
          <w:bCs/>
        </w:rPr>
        <w:t>miesiąc kalendarzowy,</w:t>
      </w:r>
    </w:p>
    <w:p w14:paraId="5E88208E" w14:textId="591E3E2F" w:rsidR="00593D85" w:rsidRDefault="00593D85" w:rsidP="00593D85">
      <w:pPr>
        <w:spacing w:before="120" w:after="120" w:line="360" w:lineRule="auto"/>
        <w:rPr>
          <w:rFonts w:cs="Arial"/>
          <w:bCs/>
        </w:rPr>
      </w:pPr>
      <w:r w:rsidRPr="0071733B">
        <w:rPr>
          <w:rFonts w:cs="Arial"/>
          <w:b/>
        </w:rPr>
        <w:t>Fundusze polityki spójności</w:t>
      </w:r>
      <w:r w:rsidRPr="009C41F7">
        <w:rPr>
          <w:rFonts w:cs="Arial"/>
          <w:bCs/>
        </w:rPr>
        <w:t xml:space="preserve"> – Europejski Fundusz Rozwoju Regionalnego, Europejski Fundusz Społeczny Plus</w:t>
      </w:r>
      <w:r>
        <w:rPr>
          <w:rFonts w:cs="Arial"/>
          <w:bCs/>
        </w:rPr>
        <w:t>,</w:t>
      </w:r>
      <w:r w:rsidRPr="009C41F7">
        <w:rPr>
          <w:rFonts w:cs="Arial"/>
          <w:bCs/>
        </w:rPr>
        <w:t xml:space="preserve"> Fundusz Spójności</w:t>
      </w:r>
      <w:r>
        <w:rPr>
          <w:rFonts w:cs="Arial"/>
          <w:bCs/>
        </w:rPr>
        <w:t xml:space="preserve"> oraz</w:t>
      </w:r>
      <w:r w:rsidRPr="009C41F7">
        <w:rPr>
          <w:rFonts w:cs="Arial"/>
          <w:bCs/>
        </w:rPr>
        <w:t xml:space="preserve"> Fundusz </w:t>
      </w:r>
      <w:r w:rsidR="00422955">
        <w:rPr>
          <w:rFonts w:cs="Arial"/>
          <w:bCs/>
        </w:rPr>
        <w:t xml:space="preserve">na rzecz </w:t>
      </w:r>
      <w:r w:rsidRPr="009C41F7">
        <w:rPr>
          <w:rFonts w:cs="Arial"/>
          <w:bCs/>
        </w:rPr>
        <w:t>Sprawiedliwej Transformacji</w:t>
      </w:r>
      <w:r>
        <w:rPr>
          <w:rFonts w:cs="Arial"/>
          <w:bCs/>
        </w:rPr>
        <w:t>,</w:t>
      </w:r>
    </w:p>
    <w:p w14:paraId="0EC0A55C" w14:textId="311CA7FF" w:rsidR="00BF381D" w:rsidRDefault="00BF381D" w:rsidP="00593D85">
      <w:pPr>
        <w:spacing w:before="120" w:after="120" w:line="360" w:lineRule="auto"/>
        <w:rPr>
          <w:rFonts w:cs="Arial"/>
          <w:bCs/>
        </w:rPr>
      </w:pPr>
      <w:r w:rsidRPr="00617FD3">
        <w:rPr>
          <w:rFonts w:cs="Arial"/>
          <w:b/>
        </w:rPr>
        <w:t>Okres realizacji projektu</w:t>
      </w:r>
      <w:r>
        <w:rPr>
          <w:rFonts w:cs="Arial"/>
          <w:bCs/>
        </w:rPr>
        <w:t xml:space="preserve"> – okres </w:t>
      </w:r>
      <w:r w:rsidR="00F22A2D">
        <w:rPr>
          <w:rFonts w:cs="Arial"/>
          <w:bCs/>
        </w:rPr>
        <w:t xml:space="preserve">realizacji projektu </w:t>
      </w:r>
      <w:r>
        <w:rPr>
          <w:rFonts w:cs="Arial"/>
          <w:bCs/>
        </w:rPr>
        <w:t>wynikający z u</w:t>
      </w:r>
      <w:r w:rsidRPr="00BF381D">
        <w:rPr>
          <w:rFonts w:cs="Arial"/>
          <w:bCs/>
        </w:rPr>
        <w:t>mow</w:t>
      </w:r>
      <w:r>
        <w:rPr>
          <w:rFonts w:cs="Arial"/>
          <w:bCs/>
        </w:rPr>
        <w:t>y</w:t>
      </w:r>
      <w:r w:rsidRPr="00BF381D">
        <w:rPr>
          <w:rFonts w:cs="Arial"/>
          <w:bCs/>
        </w:rPr>
        <w:t>/decyzj</w:t>
      </w:r>
      <w:r>
        <w:rPr>
          <w:rFonts w:cs="Arial"/>
          <w:bCs/>
        </w:rPr>
        <w:t>i</w:t>
      </w:r>
      <w:r w:rsidRPr="00BF381D">
        <w:rPr>
          <w:rFonts w:cs="Arial"/>
          <w:bCs/>
        </w:rPr>
        <w:t xml:space="preserve"> o</w:t>
      </w:r>
      <w:r w:rsidR="00F22A2D">
        <w:rPr>
          <w:rFonts w:cs="Arial"/>
          <w:bCs/>
        </w:rPr>
        <w:t> </w:t>
      </w:r>
      <w:r w:rsidRPr="00BF381D">
        <w:rPr>
          <w:rFonts w:cs="Arial"/>
          <w:bCs/>
        </w:rPr>
        <w:t>dofinansowaniu</w:t>
      </w:r>
      <w:r w:rsidR="00F22A2D">
        <w:rPr>
          <w:rFonts w:cs="Arial"/>
          <w:bCs/>
        </w:rPr>
        <w:t>,</w:t>
      </w:r>
    </w:p>
    <w:p w14:paraId="48EF0907" w14:textId="6F1D5AC7" w:rsidR="006E46E8" w:rsidRDefault="006E46E8" w:rsidP="00593D85">
      <w:pPr>
        <w:spacing w:before="120" w:after="120" w:line="360" w:lineRule="auto"/>
        <w:rPr>
          <w:rFonts w:cs="Arial"/>
          <w:bCs/>
        </w:rPr>
      </w:pPr>
      <w:r w:rsidRPr="00617FD3">
        <w:rPr>
          <w:rFonts w:cs="Arial"/>
          <w:b/>
        </w:rPr>
        <w:t>Okres sprawozdawczy</w:t>
      </w:r>
      <w:r>
        <w:rPr>
          <w:rFonts w:cs="Arial"/>
          <w:bCs/>
        </w:rPr>
        <w:t xml:space="preserve"> –</w:t>
      </w:r>
      <w:r w:rsidR="006C0C1A">
        <w:rPr>
          <w:rFonts w:cs="Arial"/>
          <w:bCs/>
        </w:rPr>
        <w:t xml:space="preserve"> </w:t>
      </w:r>
      <w:r w:rsidR="007C47BC">
        <w:rPr>
          <w:rFonts w:cs="Arial"/>
          <w:bCs/>
        </w:rPr>
        <w:t xml:space="preserve">miesiąc, </w:t>
      </w:r>
      <w:r w:rsidR="00C923AB">
        <w:rPr>
          <w:rFonts w:cs="Arial"/>
          <w:bCs/>
        </w:rPr>
        <w:t xml:space="preserve">kwartał, </w:t>
      </w:r>
      <w:r w:rsidR="004A408C">
        <w:rPr>
          <w:rFonts w:cs="Arial"/>
          <w:bCs/>
        </w:rPr>
        <w:t>półrocze</w:t>
      </w:r>
      <w:r w:rsidR="006C0C1A">
        <w:rPr>
          <w:rFonts w:cs="Arial"/>
          <w:bCs/>
        </w:rPr>
        <w:t xml:space="preserve"> lub</w:t>
      </w:r>
      <w:r w:rsidR="004A408C">
        <w:rPr>
          <w:rFonts w:cs="Arial"/>
          <w:bCs/>
        </w:rPr>
        <w:t xml:space="preserve"> rok</w:t>
      </w:r>
      <w:r w:rsidR="007175D9">
        <w:rPr>
          <w:rFonts w:cs="Arial"/>
          <w:bCs/>
        </w:rPr>
        <w:t>,</w:t>
      </w:r>
      <w:r w:rsidR="00C923AB">
        <w:rPr>
          <w:rFonts w:cs="Arial"/>
          <w:bCs/>
        </w:rPr>
        <w:t xml:space="preserve"> w którym realizowany był projekt</w:t>
      </w:r>
      <w:r w:rsidR="006C0C1A">
        <w:rPr>
          <w:rStyle w:val="markedcontent"/>
          <w:rFonts w:cs="Arial"/>
          <w:sz w:val="25"/>
          <w:szCs w:val="25"/>
        </w:rPr>
        <w:t>.</w:t>
      </w:r>
    </w:p>
    <w:p w14:paraId="2755DF9F" w14:textId="77777777" w:rsidR="00593D85" w:rsidRPr="009C41F7" w:rsidRDefault="00593D85" w:rsidP="00593D85">
      <w:pPr>
        <w:spacing w:before="120" w:after="120" w:line="360" w:lineRule="auto"/>
        <w:rPr>
          <w:rFonts w:cs="Arial"/>
          <w:bCs/>
        </w:rPr>
      </w:pPr>
      <w:r w:rsidRPr="0071733B">
        <w:rPr>
          <w:rFonts w:cs="Arial"/>
          <w:b/>
          <w:bCs/>
        </w:rPr>
        <w:lastRenderedPageBreak/>
        <w:t>Plan zarządzania zasobami ludzkimi na lata 2021-2027</w:t>
      </w:r>
      <w:r>
        <w:rPr>
          <w:rFonts w:cs="Arial"/>
        </w:rPr>
        <w:t xml:space="preserve"> - </w:t>
      </w:r>
      <w:r w:rsidRPr="0071733B">
        <w:rPr>
          <w:rFonts w:cs="Arial"/>
        </w:rPr>
        <w:t>dokument odnoszący się do zarządzania zasobami ludzkimi instytucji zaangażowanych we wdrażanie polityki spójności w perspektywie 2021-2027, wskazujący rozwiązania, które umożliwią sprawne i skuteczne realizowanie powierzonych instytucjom zadań</w:t>
      </w:r>
      <w:r>
        <w:rPr>
          <w:rFonts w:cs="Arial"/>
        </w:rPr>
        <w:t>,</w:t>
      </w:r>
    </w:p>
    <w:p w14:paraId="2470B027" w14:textId="4AEBD630" w:rsidR="00593D85" w:rsidRDefault="00593D85" w:rsidP="00593D85">
      <w:pPr>
        <w:spacing w:before="120" w:after="120" w:line="360" w:lineRule="auto"/>
        <w:rPr>
          <w:rFonts w:cs="Arial"/>
          <w:bCs/>
        </w:rPr>
      </w:pPr>
      <w:r w:rsidRPr="0071733B">
        <w:rPr>
          <w:rFonts w:cs="Arial"/>
          <w:b/>
        </w:rPr>
        <w:t>Partnerzy</w:t>
      </w:r>
      <w:r w:rsidRPr="009C41F7">
        <w:rPr>
          <w:rFonts w:cs="Arial"/>
          <w:bCs/>
        </w:rPr>
        <w:t xml:space="preserve"> – partnerzy, o których mowa w art. 8 rozporządzenia ogólnego,</w:t>
      </w:r>
    </w:p>
    <w:p w14:paraId="5484CDB2" w14:textId="207F1201" w:rsidR="001A694C" w:rsidRPr="009C41F7" w:rsidRDefault="001A694C" w:rsidP="00593D85">
      <w:pPr>
        <w:spacing w:before="120" w:after="120" w:line="360" w:lineRule="auto"/>
        <w:rPr>
          <w:rFonts w:cs="Arial"/>
          <w:bCs/>
        </w:rPr>
      </w:pPr>
      <w:r w:rsidRPr="007C47BC">
        <w:rPr>
          <w:rFonts w:cs="Arial"/>
          <w:b/>
        </w:rPr>
        <w:t>Półrocze</w:t>
      </w:r>
      <w:r>
        <w:rPr>
          <w:rFonts w:cs="Arial"/>
          <w:bCs/>
        </w:rPr>
        <w:t xml:space="preserve"> – </w:t>
      </w:r>
      <w:r w:rsidR="002F0648">
        <w:rPr>
          <w:rFonts w:cs="Arial"/>
        </w:rPr>
        <w:t xml:space="preserve">należy przez to rozumieć </w:t>
      </w:r>
      <w:r>
        <w:rPr>
          <w:rFonts w:cs="Arial"/>
          <w:bCs/>
        </w:rPr>
        <w:t>półrocze kalendarzowe</w:t>
      </w:r>
      <w:r w:rsidR="006E46E8">
        <w:rPr>
          <w:rFonts w:cs="Arial"/>
          <w:bCs/>
        </w:rPr>
        <w:t>,</w:t>
      </w:r>
    </w:p>
    <w:p w14:paraId="12229665" w14:textId="77777777" w:rsidR="00593D85" w:rsidRPr="009C41F7" w:rsidRDefault="00593D85" w:rsidP="00593D85">
      <w:pPr>
        <w:spacing w:before="120" w:after="120" w:line="360" w:lineRule="auto"/>
        <w:rPr>
          <w:rFonts w:cs="Arial"/>
          <w:bCs/>
        </w:rPr>
      </w:pPr>
      <w:r w:rsidRPr="0071733B">
        <w:rPr>
          <w:rFonts w:cs="Arial"/>
          <w:b/>
        </w:rPr>
        <w:t>Program</w:t>
      </w:r>
      <w:r w:rsidRPr="009C41F7">
        <w:rPr>
          <w:rFonts w:cs="Arial"/>
          <w:bCs/>
        </w:rPr>
        <w:t xml:space="preserve"> – program o którym mowa w art. 2 pkt </w:t>
      </w:r>
      <w:r>
        <w:rPr>
          <w:rFonts w:cs="Arial"/>
          <w:bCs/>
        </w:rPr>
        <w:t>15 lub 23</w:t>
      </w:r>
      <w:r w:rsidRPr="009C41F7">
        <w:rPr>
          <w:rFonts w:cs="Arial"/>
          <w:bCs/>
        </w:rPr>
        <w:t xml:space="preserve"> ustawy wdrożeniowej</w:t>
      </w:r>
      <w:r>
        <w:rPr>
          <w:rFonts w:cs="Arial"/>
          <w:bCs/>
        </w:rPr>
        <w:t>,</w:t>
      </w:r>
    </w:p>
    <w:p w14:paraId="53F06C71" w14:textId="130F311F" w:rsidR="00593D85" w:rsidRDefault="00593D85" w:rsidP="00593D85">
      <w:pPr>
        <w:spacing w:before="120" w:after="120" w:line="360" w:lineRule="auto"/>
        <w:rPr>
          <w:rFonts w:cs="Arial"/>
          <w:bCs/>
        </w:rPr>
      </w:pPr>
      <w:r w:rsidRPr="0071733B">
        <w:rPr>
          <w:rFonts w:cs="Arial"/>
          <w:b/>
        </w:rPr>
        <w:t>Projekt</w:t>
      </w:r>
      <w:r w:rsidRPr="009C41F7">
        <w:rPr>
          <w:rFonts w:cs="Arial"/>
          <w:bCs/>
        </w:rPr>
        <w:t xml:space="preserve"> – projekt, o którym mowa w </w:t>
      </w:r>
      <w:r w:rsidRPr="00AF62B5">
        <w:rPr>
          <w:rFonts w:cs="Arial"/>
          <w:bCs/>
        </w:rPr>
        <w:t xml:space="preserve">art. 2 pkt 22 </w:t>
      </w:r>
      <w:r w:rsidRPr="009C41F7">
        <w:rPr>
          <w:rFonts w:cs="Arial"/>
          <w:bCs/>
        </w:rPr>
        <w:t>ustawy wdrożeniowej</w:t>
      </w:r>
      <w:r>
        <w:rPr>
          <w:rFonts w:cs="Arial"/>
          <w:bCs/>
        </w:rPr>
        <w:t>,</w:t>
      </w:r>
    </w:p>
    <w:p w14:paraId="48DC3180" w14:textId="7FF45A05" w:rsidR="001A694C" w:rsidRDefault="001A694C" w:rsidP="00593D85">
      <w:pPr>
        <w:spacing w:before="120" w:after="120" w:line="360" w:lineRule="auto"/>
        <w:rPr>
          <w:rFonts w:cs="Arial"/>
          <w:bCs/>
        </w:rPr>
      </w:pPr>
      <w:r w:rsidRPr="007C47BC">
        <w:rPr>
          <w:rFonts w:cs="Arial"/>
          <w:b/>
        </w:rPr>
        <w:t xml:space="preserve">Rok </w:t>
      </w:r>
      <w:r>
        <w:rPr>
          <w:rFonts w:cs="Arial"/>
          <w:bCs/>
        </w:rPr>
        <w:t xml:space="preserve">– </w:t>
      </w:r>
      <w:r w:rsidR="002F0648">
        <w:rPr>
          <w:rFonts w:cs="Arial"/>
        </w:rPr>
        <w:t xml:space="preserve">należy przez to rozumieć </w:t>
      </w:r>
      <w:r>
        <w:rPr>
          <w:rFonts w:cs="Arial"/>
          <w:bCs/>
        </w:rPr>
        <w:t>rok kalendarzowy</w:t>
      </w:r>
      <w:r w:rsidR="006E46E8">
        <w:rPr>
          <w:rFonts w:cs="Arial"/>
          <w:bCs/>
        </w:rPr>
        <w:t>,</w:t>
      </w:r>
    </w:p>
    <w:p w14:paraId="497D1D64" w14:textId="35846280" w:rsidR="00593D85" w:rsidRPr="009C41F7" w:rsidRDefault="00593D85" w:rsidP="00593D85">
      <w:pPr>
        <w:spacing w:before="120" w:after="120" w:line="360" w:lineRule="auto"/>
        <w:rPr>
          <w:rFonts w:cs="Arial"/>
          <w:bCs/>
        </w:rPr>
      </w:pPr>
      <w:r w:rsidRPr="0070053E">
        <w:rPr>
          <w:rFonts w:cs="Arial"/>
          <w:b/>
        </w:rPr>
        <w:t>Rozporządzenie ogólne</w:t>
      </w:r>
      <w:r w:rsidRPr="0070053E">
        <w:rPr>
          <w:rFonts w:cs="Arial"/>
          <w:bCs/>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w:t>
      </w:r>
      <w:r>
        <w:rPr>
          <w:rFonts w:cs="Arial"/>
          <w:bCs/>
        </w:rPr>
        <w:t> </w:t>
      </w:r>
      <w:r w:rsidRPr="0070053E">
        <w:rPr>
          <w:rFonts w:cs="Arial"/>
          <w:bCs/>
        </w:rPr>
        <w:t>także przepisy finansowe na potrzeby tych funduszy oraz na potrzeby Funduszu Azylu, Migracji i Integracji, Funduszu Bezpieczeństwa Wewnętrznego i Instrumentu Wsparcia Finansowego na rzecz Zarządzania Granicami i Polityki Wizowej (Dz. Urz. UE L 231 z 30.06.2021, str. 159 z</w:t>
      </w:r>
      <w:r>
        <w:rPr>
          <w:rFonts w:cs="Arial"/>
          <w:bCs/>
        </w:rPr>
        <w:t> </w:t>
      </w:r>
      <w:proofErr w:type="spellStart"/>
      <w:r w:rsidRPr="0070053E">
        <w:rPr>
          <w:rFonts w:cs="Arial"/>
          <w:bCs/>
        </w:rPr>
        <w:t>późn</w:t>
      </w:r>
      <w:proofErr w:type="spellEnd"/>
      <w:r w:rsidRPr="0070053E">
        <w:rPr>
          <w:rFonts w:cs="Arial"/>
          <w:bCs/>
        </w:rPr>
        <w:t>. zm.)</w:t>
      </w:r>
      <w:r>
        <w:rPr>
          <w:rFonts w:cs="Arial"/>
          <w:bCs/>
        </w:rPr>
        <w:t>,</w:t>
      </w:r>
    </w:p>
    <w:p w14:paraId="5FDD6635" w14:textId="77777777" w:rsidR="00593D85" w:rsidRDefault="00593D85" w:rsidP="00593D85">
      <w:pPr>
        <w:spacing w:before="120" w:after="120" w:line="360" w:lineRule="auto"/>
        <w:rPr>
          <w:rFonts w:cs="Arial"/>
          <w:bCs/>
        </w:rPr>
      </w:pPr>
      <w:r w:rsidRPr="0071733B">
        <w:rPr>
          <w:rFonts w:cs="Arial"/>
          <w:b/>
        </w:rPr>
        <w:t>Umowa/decyzja o dofinansowaniu</w:t>
      </w:r>
      <w:r w:rsidRPr="009C41F7">
        <w:rPr>
          <w:rFonts w:cs="Arial"/>
          <w:bCs/>
        </w:rPr>
        <w:t xml:space="preserve"> – umowa o dofinansowanie, o której mowa w</w:t>
      </w:r>
      <w:r>
        <w:rPr>
          <w:rFonts w:cs="Arial"/>
          <w:bCs/>
        </w:rPr>
        <w:t> </w:t>
      </w:r>
      <w:r w:rsidRPr="009C41F7">
        <w:rPr>
          <w:rFonts w:cs="Arial"/>
          <w:bCs/>
        </w:rPr>
        <w:t xml:space="preserve">art. 2 pkt 32 </w:t>
      </w:r>
      <w:r>
        <w:rPr>
          <w:rFonts w:cs="Arial"/>
          <w:bCs/>
        </w:rPr>
        <w:t xml:space="preserve">lit. a lub b </w:t>
      </w:r>
      <w:r w:rsidRPr="009C41F7">
        <w:rPr>
          <w:rFonts w:cs="Arial"/>
          <w:bCs/>
        </w:rPr>
        <w:t>ustawy wdrożeniowej oraz decyzja o dofinansowaniu, o której mowa w</w:t>
      </w:r>
      <w:r>
        <w:rPr>
          <w:rFonts w:cs="Arial"/>
          <w:bCs/>
        </w:rPr>
        <w:t> </w:t>
      </w:r>
      <w:r w:rsidRPr="009C41F7">
        <w:rPr>
          <w:rFonts w:cs="Arial"/>
          <w:bCs/>
        </w:rPr>
        <w:t>art. 2 pkt 2 ustawy wdrożeniowej,</w:t>
      </w:r>
    </w:p>
    <w:p w14:paraId="4BA6FA23" w14:textId="77777777" w:rsidR="00593D85" w:rsidRPr="009C41F7" w:rsidRDefault="00593D85" w:rsidP="00593D85">
      <w:pPr>
        <w:spacing w:before="120" w:after="120" w:line="360" w:lineRule="auto"/>
        <w:rPr>
          <w:rFonts w:cs="Arial"/>
          <w:bCs/>
        </w:rPr>
      </w:pPr>
      <w:r w:rsidRPr="00CF2986">
        <w:rPr>
          <w:rFonts w:cs="Arial"/>
          <w:b/>
        </w:rPr>
        <w:t>Ustawa wdrożeniowa</w:t>
      </w:r>
      <w:r w:rsidRPr="00CF2986">
        <w:rPr>
          <w:rFonts w:cs="Arial"/>
          <w:bCs/>
        </w:rPr>
        <w:t xml:space="preserve"> – ustawa z dnia 28 kwietnia 2022 r. o zasadach realizacji zadań finansowanych ze środków europejskich w perspektywie finansowej 2021-2027</w:t>
      </w:r>
      <w:r>
        <w:rPr>
          <w:rFonts w:cs="Arial"/>
          <w:bCs/>
        </w:rPr>
        <w:t>,</w:t>
      </w:r>
    </w:p>
    <w:p w14:paraId="5FD6E65B" w14:textId="32C3AAA8" w:rsidR="00593D85" w:rsidRPr="009C41F7" w:rsidRDefault="00593D85" w:rsidP="00593D85">
      <w:pPr>
        <w:spacing w:before="120" w:after="120" w:line="360" w:lineRule="auto"/>
        <w:rPr>
          <w:rFonts w:cs="Arial"/>
          <w:bCs/>
        </w:rPr>
      </w:pPr>
      <w:r w:rsidRPr="00843AEB">
        <w:rPr>
          <w:rFonts w:cs="Arial"/>
          <w:b/>
        </w:rPr>
        <w:t>Właściwa instytucja</w:t>
      </w:r>
      <w:r w:rsidRPr="00843AEB">
        <w:rPr>
          <w:rFonts w:cs="Arial"/>
          <w:bCs/>
        </w:rPr>
        <w:t xml:space="preserve"> – instytucja </w:t>
      </w:r>
      <w:r>
        <w:rPr>
          <w:rFonts w:cs="Arial"/>
          <w:bCs/>
        </w:rPr>
        <w:t xml:space="preserve">IZ, IP, </w:t>
      </w:r>
      <w:r w:rsidR="00F10455">
        <w:rPr>
          <w:rFonts w:cs="Arial"/>
          <w:bCs/>
        </w:rPr>
        <w:t xml:space="preserve">IW </w:t>
      </w:r>
      <w:r w:rsidRPr="00843AEB">
        <w:rPr>
          <w:rFonts w:cs="Arial"/>
          <w:bCs/>
        </w:rPr>
        <w:t>ustanowiona dla danego programu, która jest odpowiedzialna za zadania związane z wdrażaniem pomocy technicznej</w:t>
      </w:r>
    </w:p>
    <w:p w14:paraId="52502280" w14:textId="1BF3D505" w:rsidR="00593D85" w:rsidRDefault="00593D85" w:rsidP="00593D85">
      <w:pPr>
        <w:spacing w:before="120" w:after="120" w:line="360" w:lineRule="auto"/>
        <w:rPr>
          <w:rFonts w:cs="Arial"/>
          <w:bCs/>
        </w:rPr>
      </w:pPr>
      <w:r w:rsidRPr="0071733B">
        <w:rPr>
          <w:rFonts w:cs="Arial"/>
          <w:b/>
        </w:rPr>
        <w:t>Wnioskodawca</w:t>
      </w:r>
      <w:r w:rsidRPr="009C41F7">
        <w:rPr>
          <w:rFonts w:cs="Arial"/>
          <w:bCs/>
        </w:rPr>
        <w:t xml:space="preserve"> – podmiot, o którym mowa w art. 2 pkt 34 ustawy wdrożeniowej,</w:t>
      </w:r>
    </w:p>
    <w:p w14:paraId="6748627D" w14:textId="524437F1" w:rsidR="00593D85" w:rsidRDefault="00593D85" w:rsidP="00F36DB4">
      <w:pPr>
        <w:spacing w:before="120" w:after="120" w:line="360" w:lineRule="auto"/>
        <w:rPr>
          <w:rFonts w:cs="Arial"/>
          <w:bCs/>
        </w:rPr>
      </w:pPr>
      <w:r w:rsidRPr="0071733B">
        <w:rPr>
          <w:rFonts w:cs="Arial"/>
          <w:b/>
        </w:rPr>
        <w:t xml:space="preserve">Wytyczne </w:t>
      </w:r>
      <w:r w:rsidRPr="009C41F7">
        <w:rPr>
          <w:rFonts w:cs="Arial"/>
          <w:bCs/>
        </w:rPr>
        <w:t xml:space="preserve">– Wytyczne </w:t>
      </w:r>
      <w:r>
        <w:rPr>
          <w:rFonts w:cs="Arial"/>
          <w:bCs/>
        </w:rPr>
        <w:t>dotyczące</w:t>
      </w:r>
      <w:r w:rsidRPr="009C41F7">
        <w:rPr>
          <w:rFonts w:cs="Arial"/>
          <w:bCs/>
        </w:rPr>
        <w:t xml:space="preserve"> wykorzystania środków pomocy technicznej </w:t>
      </w:r>
      <w:r w:rsidRPr="009C41F7">
        <w:rPr>
          <w:rFonts w:cs="Arial"/>
          <w:bCs/>
        </w:rPr>
        <w:br/>
        <w:t>na lata 2021-2027,</w:t>
      </w:r>
    </w:p>
    <w:p w14:paraId="1E230A12" w14:textId="56BBED0B" w:rsidR="00773AF2" w:rsidRPr="009C41F7" w:rsidRDefault="00773AF2" w:rsidP="00F36DB4">
      <w:pPr>
        <w:spacing w:before="120" w:after="120" w:line="360" w:lineRule="auto"/>
        <w:rPr>
          <w:rFonts w:cs="Arial"/>
          <w:bCs/>
        </w:rPr>
      </w:pPr>
      <w:r w:rsidRPr="007C47BC">
        <w:rPr>
          <w:rFonts w:cs="Arial"/>
          <w:b/>
        </w:rPr>
        <w:lastRenderedPageBreak/>
        <w:t>Wytyczne dotyczące komitetów monitorujących</w:t>
      </w:r>
      <w:r>
        <w:rPr>
          <w:rFonts w:cs="Arial"/>
          <w:bCs/>
        </w:rPr>
        <w:t xml:space="preserve"> - Wytyczne dotyczące komitetów monitorujących na lata 2021-2027</w:t>
      </w:r>
    </w:p>
    <w:p w14:paraId="5EF73504" w14:textId="77777777" w:rsidR="00593D85" w:rsidRDefault="00593D85" w:rsidP="00F36DB4">
      <w:pPr>
        <w:spacing w:before="120" w:after="120" w:line="360" w:lineRule="auto"/>
        <w:rPr>
          <w:rFonts w:cs="Arial"/>
          <w:bCs/>
        </w:rPr>
      </w:pPr>
      <w:r w:rsidRPr="0071733B">
        <w:rPr>
          <w:rFonts w:cs="Arial"/>
          <w:b/>
        </w:rPr>
        <w:t xml:space="preserve">Wytyczne </w:t>
      </w:r>
      <w:r>
        <w:rPr>
          <w:rFonts w:cs="Arial"/>
          <w:b/>
        </w:rPr>
        <w:t>dotyczące</w:t>
      </w:r>
      <w:r w:rsidRPr="0071733B">
        <w:rPr>
          <w:rFonts w:cs="Arial"/>
          <w:b/>
        </w:rPr>
        <w:t xml:space="preserve"> kwalifikowalności</w:t>
      </w:r>
      <w:r w:rsidRPr="009C41F7">
        <w:rPr>
          <w:rFonts w:cs="Arial"/>
          <w:bCs/>
        </w:rPr>
        <w:t xml:space="preserve"> - Wytyczne </w:t>
      </w:r>
      <w:r>
        <w:rPr>
          <w:rFonts w:cs="Arial"/>
          <w:bCs/>
        </w:rPr>
        <w:t>dotyczące</w:t>
      </w:r>
      <w:r w:rsidRPr="009C41F7">
        <w:rPr>
          <w:rFonts w:cs="Arial"/>
          <w:bCs/>
        </w:rPr>
        <w:t xml:space="preserve"> kwalifikowalności wydatków na lata 2021-2027</w:t>
      </w:r>
      <w:r>
        <w:rPr>
          <w:rFonts w:cs="Arial"/>
          <w:bCs/>
        </w:rPr>
        <w:t>,</w:t>
      </w:r>
    </w:p>
    <w:p w14:paraId="4CB9D1F7" w14:textId="1776C6ED" w:rsidR="00593D85" w:rsidRPr="00FA2C9F" w:rsidRDefault="00593D85" w:rsidP="00F36DB4">
      <w:pPr>
        <w:spacing w:before="120" w:after="120" w:line="360" w:lineRule="auto"/>
        <w:rPr>
          <w:rFonts w:cs="Arial"/>
          <w:b/>
        </w:rPr>
      </w:pPr>
      <w:r w:rsidRPr="00FA2C9F">
        <w:rPr>
          <w:rFonts w:cs="Arial"/>
          <w:b/>
        </w:rPr>
        <w:t>Wytyczne dotyczące monitorowania postępu rzeczowego</w:t>
      </w:r>
      <w:r w:rsidRPr="00FA2C9F">
        <w:rPr>
          <w:rFonts w:cs="Arial"/>
          <w:bCs/>
        </w:rPr>
        <w:t xml:space="preserve"> -</w:t>
      </w:r>
      <w:r>
        <w:rPr>
          <w:rFonts w:cs="Arial"/>
          <w:b/>
        </w:rPr>
        <w:t xml:space="preserve"> </w:t>
      </w:r>
      <w:r w:rsidRPr="00FA2C9F">
        <w:rPr>
          <w:rFonts w:cs="Arial"/>
          <w:bCs/>
        </w:rPr>
        <w:t>Wytyczne dotyczące monitorowania postępu rzeczowego realizacji programów na lata 2021-</w:t>
      </w:r>
      <w:r>
        <w:rPr>
          <w:rFonts w:cs="Arial"/>
          <w:bCs/>
        </w:rPr>
        <w:t>20</w:t>
      </w:r>
      <w:r w:rsidRPr="00FA2C9F">
        <w:rPr>
          <w:rFonts w:cs="Arial"/>
          <w:bCs/>
        </w:rPr>
        <w:t>27</w:t>
      </w:r>
      <w:r w:rsidR="00262E7B">
        <w:rPr>
          <w:rFonts w:cs="Arial"/>
          <w:bCs/>
        </w:rPr>
        <w:t>.</w:t>
      </w:r>
    </w:p>
    <w:p w14:paraId="50BB1672" w14:textId="77777777" w:rsidR="001D6AF8" w:rsidRPr="001D6AF8" w:rsidRDefault="001D6AF8" w:rsidP="00F36DB4">
      <w:pPr>
        <w:spacing w:before="120" w:after="120" w:line="360" w:lineRule="auto"/>
        <w:rPr>
          <w:rFonts w:cs="Arial"/>
        </w:rPr>
      </w:pPr>
      <w:r w:rsidRPr="001D6AF8">
        <w:rPr>
          <w:rFonts w:cs="Arial"/>
        </w:rPr>
        <w:br w:type="page"/>
      </w:r>
    </w:p>
    <w:p w14:paraId="345903E2" w14:textId="05FA3015" w:rsidR="001D6AF8" w:rsidRPr="001D6AF8" w:rsidRDefault="0068620F" w:rsidP="00C57D65">
      <w:pPr>
        <w:pStyle w:val="Nagwek1"/>
      </w:pPr>
      <w:bookmarkStart w:id="10" w:name="_Toc98428189"/>
      <w:bookmarkStart w:id="11" w:name="_Toc98761661"/>
      <w:bookmarkStart w:id="12" w:name="_Toc98934365"/>
      <w:bookmarkStart w:id="13" w:name="_Toc110601967"/>
      <w:r>
        <w:lastRenderedPageBreak/>
        <w:t xml:space="preserve">Rozdział 1. </w:t>
      </w:r>
      <w:bookmarkEnd w:id="10"/>
      <w:bookmarkEnd w:id="11"/>
      <w:r w:rsidR="000952A5">
        <w:t xml:space="preserve">Cel </w:t>
      </w:r>
      <w:bookmarkStart w:id="14" w:name="_Toc98428190"/>
      <w:bookmarkStart w:id="15" w:name="_Toc98761662"/>
      <w:bookmarkStart w:id="16" w:name="_Toc98934366"/>
      <w:bookmarkEnd w:id="12"/>
      <w:r w:rsidR="00887ECB" w:rsidRPr="00836D43">
        <w:t>oraz zakres stosowania Wytycznych</w:t>
      </w:r>
      <w:bookmarkEnd w:id="13"/>
    </w:p>
    <w:p w14:paraId="1EE4AA2A" w14:textId="77777777" w:rsidR="00F36DB4" w:rsidRDefault="00F36DB4" w:rsidP="00115B39">
      <w:pPr>
        <w:pStyle w:val="Akapitzlist"/>
        <w:numPr>
          <w:ilvl w:val="0"/>
          <w:numId w:val="2"/>
        </w:numPr>
        <w:spacing w:before="120" w:after="120" w:line="360" w:lineRule="auto"/>
        <w:ind w:left="340" w:hanging="340"/>
        <w:contextualSpacing w:val="0"/>
        <w:rPr>
          <w:rFonts w:cs="Arial"/>
        </w:rPr>
      </w:pPr>
      <w:r w:rsidRPr="002245F9">
        <w:rPr>
          <w:rFonts w:cs="Arial"/>
        </w:rPr>
        <w:t>Wytyczne mają na celu koordynację wykorzystania środków pomocy technicznej w ramach funduszy polityki spójności w perspektywie finansowej 2021-2027.</w:t>
      </w:r>
    </w:p>
    <w:p w14:paraId="4560DEC8" w14:textId="42BA280C" w:rsidR="00F36DB4" w:rsidRPr="00B62598" w:rsidRDefault="00F36DB4" w:rsidP="00115B39">
      <w:pPr>
        <w:pStyle w:val="Akapitzlist"/>
        <w:numPr>
          <w:ilvl w:val="0"/>
          <w:numId w:val="2"/>
        </w:numPr>
        <w:spacing w:before="120" w:after="120" w:line="360" w:lineRule="auto"/>
        <w:ind w:left="340" w:hanging="340"/>
        <w:contextualSpacing w:val="0"/>
        <w:rPr>
          <w:rFonts w:cs="Arial"/>
        </w:rPr>
      </w:pPr>
      <w:r w:rsidRPr="00B62598">
        <w:rPr>
          <w:rFonts w:cs="Arial"/>
        </w:rPr>
        <w:t xml:space="preserve">Wytyczne mają zastosowanie do wydatków pomocy technicznej </w:t>
      </w:r>
      <w:r w:rsidRPr="00027647">
        <w:rPr>
          <w:rFonts w:cs="Arial"/>
        </w:rPr>
        <w:t>rozliczanych na podstawie kosztów rzeczywistych</w:t>
      </w:r>
      <w:r w:rsidRPr="00B62598">
        <w:rPr>
          <w:rFonts w:cs="Arial"/>
        </w:rPr>
        <w:t xml:space="preserve"> oraz </w:t>
      </w:r>
      <w:r>
        <w:rPr>
          <w:rFonts w:cs="Arial"/>
        </w:rPr>
        <w:t>metod</w:t>
      </w:r>
      <w:r w:rsidRPr="00B62598">
        <w:rPr>
          <w:rFonts w:cs="Arial"/>
        </w:rPr>
        <w:t xml:space="preserve"> uproszczon</w:t>
      </w:r>
      <w:r>
        <w:rPr>
          <w:rFonts w:cs="Arial"/>
        </w:rPr>
        <w:t>ych</w:t>
      </w:r>
      <w:r w:rsidR="00BC153D" w:rsidRPr="00BC153D">
        <w:rPr>
          <w:rFonts w:cs="Arial"/>
        </w:rPr>
        <w:t xml:space="preserve">, o </w:t>
      </w:r>
      <w:r w:rsidR="00BC153D">
        <w:rPr>
          <w:rFonts w:cs="Arial"/>
        </w:rPr>
        <w:t>k</w:t>
      </w:r>
      <w:r w:rsidR="00BC153D" w:rsidRPr="00BC153D">
        <w:rPr>
          <w:rFonts w:cs="Arial"/>
        </w:rPr>
        <w:t>tórych mowa w art. 53 rozporządzenia ogólnego</w:t>
      </w:r>
      <w:r w:rsidRPr="00B62598">
        <w:rPr>
          <w:rFonts w:cs="Arial"/>
        </w:rPr>
        <w:t xml:space="preserve">. W zależności od przyjętej metody rozliczania wydatków zastosowanie mają odpowiednie </w:t>
      </w:r>
      <w:r w:rsidR="00F10455">
        <w:rPr>
          <w:rFonts w:cs="Arial"/>
        </w:rPr>
        <w:t>postanowienia</w:t>
      </w:r>
      <w:r w:rsidR="00F10455" w:rsidRPr="00B62598">
        <w:rPr>
          <w:rFonts w:cs="Arial"/>
        </w:rPr>
        <w:t xml:space="preserve"> </w:t>
      </w:r>
      <w:r w:rsidRPr="00B62598">
        <w:rPr>
          <w:rFonts w:cs="Arial"/>
        </w:rPr>
        <w:t>rozdziału 9 (</w:t>
      </w:r>
      <w:r>
        <w:rPr>
          <w:rFonts w:cs="Arial"/>
        </w:rPr>
        <w:t xml:space="preserve">podrozdziału </w:t>
      </w:r>
      <w:r w:rsidRPr="00B62598">
        <w:rPr>
          <w:rFonts w:cs="Arial"/>
        </w:rPr>
        <w:t xml:space="preserve">9.2 w przypadku rozliczania </w:t>
      </w:r>
      <w:r>
        <w:rPr>
          <w:rFonts w:cs="Arial"/>
        </w:rPr>
        <w:t>na podstawie</w:t>
      </w:r>
      <w:r w:rsidRPr="00B62598">
        <w:rPr>
          <w:rFonts w:cs="Arial"/>
        </w:rPr>
        <w:t xml:space="preserve"> koszt</w:t>
      </w:r>
      <w:r>
        <w:rPr>
          <w:rFonts w:cs="Arial"/>
        </w:rPr>
        <w:t>ów</w:t>
      </w:r>
      <w:r w:rsidRPr="00B62598">
        <w:rPr>
          <w:rFonts w:cs="Arial"/>
        </w:rPr>
        <w:t xml:space="preserve"> rzeczywist</w:t>
      </w:r>
      <w:r>
        <w:rPr>
          <w:rFonts w:cs="Arial"/>
        </w:rPr>
        <w:t>ych</w:t>
      </w:r>
      <w:r w:rsidRPr="00B62598">
        <w:rPr>
          <w:rFonts w:cs="Arial"/>
        </w:rPr>
        <w:t xml:space="preserve"> oraz</w:t>
      </w:r>
      <w:r>
        <w:rPr>
          <w:rFonts w:cs="Arial"/>
        </w:rPr>
        <w:t xml:space="preserve"> podrozdziału</w:t>
      </w:r>
      <w:r w:rsidRPr="00B62598">
        <w:rPr>
          <w:rFonts w:cs="Arial"/>
        </w:rPr>
        <w:t xml:space="preserve"> 9.3 w przypadku </w:t>
      </w:r>
      <w:r>
        <w:rPr>
          <w:rFonts w:cs="Arial"/>
        </w:rPr>
        <w:t xml:space="preserve">stosowania </w:t>
      </w:r>
      <w:r w:rsidRPr="00B62598">
        <w:rPr>
          <w:rFonts w:cs="Arial"/>
        </w:rPr>
        <w:t>uproszczonych metod rozliczania wydatków).</w:t>
      </w:r>
    </w:p>
    <w:p w14:paraId="304F6A1C" w14:textId="7A9F25CE" w:rsidR="00F36DB4" w:rsidRPr="002245F9" w:rsidRDefault="00422955" w:rsidP="00115B39">
      <w:pPr>
        <w:pStyle w:val="Akapitzlist"/>
        <w:numPr>
          <w:ilvl w:val="0"/>
          <w:numId w:val="2"/>
        </w:numPr>
        <w:spacing w:before="120" w:after="120" w:line="360" w:lineRule="auto"/>
        <w:ind w:left="340" w:hanging="340"/>
        <w:contextualSpacing w:val="0"/>
        <w:rPr>
          <w:rFonts w:cs="Arial"/>
        </w:rPr>
      </w:pPr>
      <w:r>
        <w:rPr>
          <w:rFonts w:cs="Arial"/>
        </w:rPr>
        <w:t>IZ</w:t>
      </w:r>
      <w:r w:rsidR="00F36DB4" w:rsidRPr="002245F9">
        <w:rPr>
          <w:rFonts w:cs="Arial"/>
        </w:rPr>
        <w:t xml:space="preserve"> decyduje o sposobie rozliczania </w:t>
      </w:r>
      <w:r w:rsidR="00F36DB4" w:rsidRPr="00027647">
        <w:rPr>
          <w:rFonts w:cs="Arial"/>
        </w:rPr>
        <w:t>na podstawie kosztów rzeczywistych lub metod uproszczonych</w:t>
      </w:r>
      <w:r w:rsidR="00F36DB4" w:rsidRPr="002245F9">
        <w:rPr>
          <w:rFonts w:cs="Arial"/>
        </w:rPr>
        <w:t>.</w:t>
      </w:r>
    </w:p>
    <w:p w14:paraId="71A68AA3" w14:textId="467A3AAF" w:rsidR="00F36DB4" w:rsidRPr="002245F9" w:rsidRDefault="00F36DB4" w:rsidP="00115B39">
      <w:pPr>
        <w:pStyle w:val="Akapitzlist"/>
        <w:numPr>
          <w:ilvl w:val="0"/>
          <w:numId w:val="2"/>
        </w:numPr>
        <w:spacing w:before="120" w:after="120" w:line="360" w:lineRule="auto"/>
        <w:ind w:left="357" w:hanging="357"/>
        <w:contextualSpacing w:val="0"/>
        <w:rPr>
          <w:rFonts w:cs="Arial"/>
        </w:rPr>
      </w:pPr>
      <w:r w:rsidRPr="002245F9">
        <w:rPr>
          <w:rFonts w:cs="Arial"/>
        </w:rPr>
        <w:t xml:space="preserve">Wytyczne stosuje się, w zakresie pomocy technicznej, dla </w:t>
      </w:r>
      <w:r>
        <w:rPr>
          <w:rFonts w:cs="Arial"/>
        </w:rPr>
        <w:t>krajowych i regionalnych programów</w:t>
      </w:r>
      <w:r w:rsidRPr="002245F9">
        <w:rPr>
          <w:rFonts w:cs="Arial"/>
        </w:rPr>
        <w:t xml:space="preserve">, realizowanych z funduszy polityki spójności. </w:t>
      </w:r>
      <w:r w:rsidRPr="00D40C9E">
        <w:rPr>
          <w:rFonts w:cs="Arial"/>
        </w:rPr>
        <w:t>Bez uszczerbku dla art. 5 ust</w:t>
      </w:r>
      <w:r>
        <w:rPr>
          <w:rFonts w:cs="Arial"/>
        </w:rPr>
        <w:t>.</w:t>
      </w:r>
      <w:r w:rsidRPr="00D40C9E">
        <w:rPr>
          <w:rFonts w:cs="Arial"/>
        </w:rPr>
        <w:t xml:space="preserve"> 1 pkt 11 ustawy wdrożeniowej, obszary wdrażania programów w zakresie pomocy technicznej, które nie są </w:t>
      </w:r>
      <w:r w:rsidR="00F10455">
        <w:rPr>
          <w:rFonts w:cs="Arial"/>
        </w:rPr>
        <w:t>określone</w:t>
      </w:r>
      <w:r w:rsidR="00F10455" w:rsidRPr="00D40C9E">
        <w:rPr>
          <w:rFonts w:cs="Arial"/>
        </w:rPr>
        <w:t xml:space="preserve"> </w:t>
      </w:r>
      <w:r w:rsidRPr="00D40C9E">
        <w:rPr>
          <w:rFonts w:cs="Arial"/>
        </w:rPr>
        <w:t>w</w:t>
      </w:r>
      <w:r>
        <w:rPr>
          <w:rFonts w:cs="Arial"/>
        </w:rPr>
        <w:t> </w:t>
      </w:r>
      <w:r w:rsidRPr="00D40C9E">
        <w:rPr>
          <w:rFonts w:cs="Arial"/>
        </w:rPr>
        <w:t>Wytycznych określają właściwe IZ.</w:t>
      </w:r>
      <w:r w:rsidRPr="002245F9">
        <w:rPr>
          <w:rFonts w:cs="Arial"/>
        </w:rPr>
        <w:t xml:space="preserve"> </w:t>
      </w:r>
      <w:r w:rsidRPr="00004E06">
        <w:rPr>
          <w:rFonts w:cs="Arial"/>
        </w:rPr>
        <w:t>Zakres oraz tryb wydawania dodatkowych instrukcji dotyczących warunków realizacji projektów pomocy technicznej, IZ krajowych lub regionalnych programów określają w umowie/decyzji o dofinansowaniu. W przypadku</w:t>
      </w:r>
      <w:r w:rsidRPr="002245F9">
        <w:rPr>
          <w:rFonts w:cs="Arial"/>
        </w:rPr>
        <w:t xml:space="preserve"> gdy instrukcje dotyczą instytucji realizujących projekty pomocy technicznej w ramach więcej niż jednego programu, instrukcje wymagają </w:t>
      </w:r>
      <w:r w:rsidRPr="00D40C9E">
        <w:rPr>
          <w:rFonts w:cs="Arial"/>
        </w:rPr>
        <w:t>wzajemnego</w:t>
      </w:r>
      <w:r w:rsidRPr="002245F9">
        <w:rPr>
          <w:rFonts w:cs="Arial"/>
        </w:rPr>
        <w:t xml:space="preserve"> uzgodnienia przez właściwe IZ. </w:t>
      </w:r>
      <w:r w:rsidRPr="00F22A25">
        <w:rPr>
          <w:rFonts w:cs="Arial"/>
        </w:rPr>
        <w:t>Wzajemne uzgodnienie nie oznacza, że te zasady muszą być jednolite</w:t>
      </w:r>
      <w:r>
        <w:rPr>
          <w:rFonts w:cs="Arial"/>
        </w:rPr>
        <w:t>, lecz nie mogą być sprzeczne</w:t>
      </w:r>
      <w:r w:rsidRPr="00F22A25">
        <w:rPr>
          <w:rFonts w:cs="Arial"/>
        </w:rPr>
        <w:t>.</w:t>
      </w:r>
    </w:p>
    <w:p w14:paraId="1D218095" w14:textId="1E0CA3A1" w:rsidR="00F36DB4" w:rsidRDefault="00520E19" w:rsidP="00115B39">
      <w:pPr>
        <w:pStyle w:val="Akapitzlist"/>
        <w:numPr>
          <w:ilvl w:val="0"/>
          <w:numId w:val="2"/>
        </w:numPr>
        <w:spacing w:before="120" w:after="120" w:line="360" w:lineRule="auto"/>
        <w:ind w:left="357" w:hanging="357"/>
        <w:contextualSpacing w:val="0"/>
        <w:rPr>
          <w:rFonts w:cs="Arial"/>
        </w:rPr>
      </w:pPr>
      <w:r w:rsidRPr="00520E19">
        <w:rPr>
          <w:rFonts w:cs="Arial"/>
        </w:rPr>
        <w:t xml:space="preserve">Wytyczne oraz ich zmiany stosowane są od dnia ogłoszenia komunikatu, o którym mowa w art. 5 ust 5 pkt 2 ustawy wdrożeniowej. </w:t>
      </w:r>
      <w:r w:rsidR="00F36DB4" w:rsidRPr="002245F9">
        <w:rPr>
          <w:rFonts w:cs="Arial"/>
        </w:rPr>
        <w:t xml:space="preserve">. </w:t>
      </w:r>
    </w:p>
    <w:p w14:paraId="294EA73A" w14:textId="65EE25C9" w:rsidR="00F36DB4" w:rsidRDefault="00F36DB4" w:rsidP="00115B39">
      <w:pPr>
        <w:pStyle w:val="Akapitzlist"/>
        <w:numPr>
          <w:ilvl w:val="0"/>
          <w:numId w:val="2"/>
        </w:numPr>
        <w:spacing w:before="120" w:after="120" w:line="360" w:lineRule="auto"/>
        <w:ind w:left="357" w:hanging="357"/>
        <w:contextualSpacing w:val="0"/>
        <w:rPr>
          <w:rFonts w:cs="Arial"/>
        </w:rPr>
      </w:pPr>
      <w:r w:rsidRPr="00FB35CB">
        <w:rPr>
          <w:rFonts w:cs="Arial"/>
        </w:rPr>
        <w:t xml:space="preserve">Do oceny kwalifikowalności wydatków stosuje się wersję Wytycznych </w:t>
      </w:r>
      <w:r w:rsidR="00F10455">
        <w:rPr>
          <w:rFonts w:cs="Arial"/>
        </w:rPr>
        <w:t>stosowaną</w:t>
      </w:r>
      <w:r w:rsidR="00F10455" w:rsidRPr="00FB35CB">
        <w:rPr>
          <w:rFonts w:cs="Arial"/>
        </w:rPr>
        <w:t xml:space="preserve"> </w:t>
      </w:r>
      <w:r w:rsidRPr="00FB35CB">
        <w:rPr>
          <w:rFonts w:cs="Arial"/>
        </w:rPr>
        <w:t xml:space="preserve">w dniu poniesienia wydatku, z uwzględnieniem pkt </w:t>
      </w:r>
      <w:r>
        <w:rPr>
          <w:rFonts w:cs="Arial"/>
        </w:rPr>
        <w:t>7 i 8.</w:t>
      </w:r>
    </w:p>
    <w:p w14:paraId="49722068" w14:textId="7C2C891A" w:rsidR="00F36DB4" w:rsidRDefault="00F36DB4" w:rsidP="00115B39">
      <w:pPr>
        <w:pStyle w:val="Akapitzlist"/>
        <w:numPr>
          <w:ilvl w:val="0"/>
          <w:numId w:val="2"/>
        </w:numPr>
        <w:spacing w:before="120" w:after="120" w:line="360" w:lineRule="auto"/>
        <w:ind w:left="357" w:hanging="357"/>
        <w:contextualSpacing w:val="0"/>
        <w:rPr>
          <w:rFonts w:cs="Arial"/>
        </w:rPr>
      </w:pPr>
      <w:r w:rsidRPr="00FB35CB">
        <w:rPr>
          <w:rFonts w:cs="Arial"/>
        </w:rPr>
        <w:t xml:space="preserve">Do oceny prawidłowości przeprowadzonego postępowania o udzielenie zamówienia oraz zawartej w ramach projektu umowy w sprawie zamówienia, </w:t>
      </w:r>
      <w:r w:rsidRPr="002245F9">
        <w:rPr>
          <w:rFonts w:cs="Arial"/>
        </w:rPr>
        <w:t xml:space="preserve">stosuje się wersję Wytycznych </w:t>
      </w:r>
      <w:r w:rsidR="00BC153D">
        <w:rPr>
          <w:rFonts w:cs="Arial"/>
        </w:rPr>
        <w:t xml:space="preserve">dotyczących kwalifikowalności </w:t>
      </w:r>
      <w:r w:rsidR="00F10455">
        <w:rPr>
          <w:rFonts w:cs="Arial"/>
        </w:rPr>
        <w:t>stosowaną</w:t>
      </w:r>
      <w:r w:rsidR="00F10455" w:rsidRPr="002245F9">
        <w:rPr>
          <w:rFonts w:cs="Arial"/>
        </w:rPr>
        <w:t xml:space="preserve"> </w:t>
      </w:r>
      <w:r w:rsidRPr="002245F9">
        <w:rPr>
          <w:rFonts w:cs="Arial"/>
        </w:rPr>
        <w:t xml:space="preserve">w dniu </w:t>
      </w:r>
      <w:r w:rsidRPr="002245F9">
        <w:rPr>
          <w:rFonts w:cs="Arial"/>
        </w:rPr>
        <w:lastRenderedPageBreak/>
        <w:t>wszczęcia postępowania o</w:t>
      </w:r>
      <w:r>
        <w:rPr>
          <w:rFonts w:cs="Arial"/>
        </w:rPr>
        <w:t> </w:t>
      </w:r>
      <w:r w:rsidRPr="002245F9">
        <w:rPr>
          <w:rFonts w:cs="Arial"/>
        </w:rPr>
        <w:t>udzielenie zamówienia</w:t>
      </w:r>
      <w:r>
        <w:rPr>
          <w:rStyle w:val="Odwoanieprzypisudolnego"/>
        </w:rPr>
        <w:footnoteReference w:id="1"/>
      </w:r>
      <w:r w:rsidRPr="002245F9">
        <w:rPr>
          <w:rFonts w:cs="Arial"/>
        </w:rPr>
        <w:t xml:space="preserve">, o którym mowa w </w:t>
      </w:r>
      <w:r w:rsidRPr="00B84399">
        <w:rPr>
          <w:rFonts w:cs="Arial"/>
        </w:rPr>
        <w:t>sekcji</w:t>
      </w:r>
      <w:r>
        <w:rPr>
          <w:rFonts w:cs="Arial"/>
        </w:rPr>
        <w:t xml:space="preserve"> 3.2</w:t>
      </w:r>
      <w:r w:rsidRPr="00B84399">
        <w:rPr>
          <w:rFonts w:cs="Arial"/>
        </w:rPr>
        <w:t xml:space="preserve"> Wytycznych dotyczących kwalifikowalności, prowadzących do zawarcia</w:t>
      </w:r>
      <w:r w:rsidRPr="002245F9">
        <w:rPr>
          <w:rFonts w:cs="Arial"/>
        </w:rPr>
        <w:t xml:space="preserve"> umowy, na podstawie której poniesiony został wydatek. </w:t>
      </w:r>
    </w:p>
    <w:p w14:paraId="3A52026F" w14:textId="539498AA" w:rsidR="00F36DB4" w:rsidRPr="005D2F35" w:rsidRDefault="00F36DB4" w:rsidP="00115B39">
      <w:pPr>
        <w:pStyle w:val="Akapitzlist"/>
        <w:numPr>
          <w:ilvl w:val="0"/>
          <w:numId w:val="2"/>
        </w:numPr>
        <w:spacing w:before="120" w:after="120" w:line="360" w:lineRule="auto"/>
        <w:ind w:left="357" w:hanging="357"/>
        <w:contextualSpacing w:val="0"/>
        <w:rPr>
          <w:rFonts w:cs="Arial"/>
        </w:rPr>
      </w:pPr>
      <w:r w:rsidRPr="005D2F35">
        <w:rPr>
          <w:rFonts w:cs="Arial"/>
        </w:rPr>
        <w:t xml:space="preserve">W przypadku gdy </w:t>
      </w:r>
      <w:r w:rsidR="001F3B97">
        <w:rPr>
          <w:rFonts w:cs="Arial"/>
        </w:rPr>
        <w:t>opublikowana</w:t>
      </w:r>
      <w:r w:rsidR="001F3B97" w:rsidRPr="005D2F35">
        <w:rPr>
          <w:rFonts w:cs="Arial"/>
        </w:rPr>
        <w:t xml:space="preserve"> </w:t>
      </w:r>
      <w:r w:rsidRPr="005D2F35">
        <w:rPr>
          <w:rFonts w:cs="Arial"/>
        </w:rPr>
        <w:t>po wszczęciu postępowania o udzielenie zamówienia wersja Wytycznych dotyczących kwalifikowalności wprowadza rozwiązania korzystniejsze dla beneficjenta, do oceny kwalifikowalności wydatku stosuje się tę wersję Wytycznych</w:t>
      </w:r>
      <w:r w:rsidR="00BC153D">
        <w:rPr>
          <w:rFonts w:cs="Arial"/>
        </w:rPr>
        <w:t xml:space="preserve"> </w:t>
      </w:r>
      <w:r w:rsidR="00BC153D" w:rsidRPr="005D2F35">
        <w:rPr>
          <w:rFonts w:cs="Arial"/>
        </w:rPr>
        <w:t>dotyczących kwalifikowalności</w:t>
      </w:r>
      <w:r w:rsidRPr="005D2F35">
        <w:rPr>
          <w:rFonts w:cs="Arial"/>
        </w:rPr>
        <w:t xml:space="preserve">. </w:t>
      </w:r>
    </w:p>
    <w:p w14:paraId="77342F31" w14:textId="34E5F682" w:rsidR="00F36DB4" w:rsidRPr="002245F9" w:rsidRDefault="00F36DB4" w:rsidP="00115B39">
      <w:pPr>
        <w:pStyle w:val="Akapitzlist"/>
        <w:numPr>
          <w:ilvl w:val="0"/>
          <w:numId w:val="2"/>
        </w:numPr>
        <w:spacing w:before="120" w:after="120" w:line="360" w:lineRule="auto"/>
        <w:ind w:left="357" w:hanging="357"/>
        <w:contextualSpacing w:val="0"/>
        <w:rPr>
          <w:rFonts w:cs="Arial"/>
        </w:rPr>
      </w:pPr>
      <w:r w:rsidRPr="002245F9">
        <w:rPr>
          <w:rFonts w:eastAsia="MS Mincho" w:cs="Arial"/>
          <w:lang w:eastAsia="ja-JP"/>
        </w:rPr>
        <w:t>Każdy podmiot stosujący Wytyczne może zwrócić się na piśmie z prośbą o</w:t>
      </w:r>
      <w:r>
        <w:rPr>
          <w:rFonts w:eastAsia="MS Mincho" w:cs="Arial"/>
          <w:lang w:eastAsia="ja-JP"/>
        </w:rPr>
        <w:t> </w:t>
      </w:r>
      <w:r w:rsidRPr="002245F9">
        <w:rPr>
          <w:rFonts w:eastAsia="MS Mincho" w:cs="Arial"/>
          <w:lang w:eastAsia="ja-JP"/>
        </w:rPr>
        <w:t xml:space="preserve">dokonanie interpretacji postanowień Wytycznych dla konkretnego stanu faktycznego. W pierwszej kolejności pytania należy kierować do właściwej instytucji będącej stroną umowy/decyzji o dofinansowaniu. W przypadku wątpliwości dotyczącej rozstrzygnięcia danej kwestii, przed udzieleniem odpowiedzi instytucja ta powinna zwrócić się bezpośrednio do instytucji nadrzędnej w systemie realizacji programu. </w:t>
      </w:r>
    </w:p>
    <w:p w14:paraId="280366F5" w14:textId="77777777" w:rsidR="00F36DB4" w:rsidRPr="002245F9" w:rsidRDefault="00F36DB4" w:rsidP="00115B39">
      <w:pPr>
        <w:pStyle w:val="Akapitzlist"/>
        <w:numPr>
          <w:ilvl w:val="0"/>
          <w:numId w:val="2"/>
        </w:numPr>
        <w:spacing w:before="120" w:after="120" w:line="360" w:lineRule="auto"/>
        <w:ind w:left="357" w:hanging="357"/>
        <w:rPr>
          <w:rFonts w:cs="Arial"/>
        </w:rPr>
      </w:pPr>
      <w:r w:rsidRPr="002245F9">
        <w:rPr>
          <w:rFonts w:cs="Arial"/>
        </w:rPr>
        <w:t xml:space="preserve">IZ może zwrócić się do IK PT z prośbą o dokonanie interpretacji postanowień </w:t>
      </w:r>
      <w:r w:rsidRPr="002A7B9A">
        <w:rPr>
          <w:rFonts w:cs="Arial"/>
          <w:iCs/>
        </w:rPr>
        <w:t xml:space="preserve">Wytycznych </w:t>
      </w:r>
      <w:r w:rsidRPr="002245F9">
        <w:rPr>
          <w:rFonts w:cs="Arial"/>
        </w:rPr>
        <w:t>pismem lub za pośrednictwem poczty elektronicznej na adres: kwalifikowalnosc.popt@mfipr.gov.pl.</w:t>
      </w:r>
    </w:p>
    <w:p w14:paraId="3E9AB555" w14:textId="66B26A6B" w:rsidR="00115B39" w:rsidRPr="00475A64" w:rsidRDefault="0068620F" w:rsidP="00C57D65">
      <w:pPr>
        <w:pStyle w:val="Nagwek1"/>
      </w:pPr>
      <w:bookmarkStart w:id="17" w:name="_Toc110601968"/>
      <w:r w:rsidRPr="001159E7">
        <w:t xml:space="preserve">Rozdział 2. </w:t>
      </w:r>
      <w:bookmarkStart w:id="18" w:name="_Toc382570643"/>
      <w:bookmarkStart w:id="19" w:name="_Toc88553273"/>
      <w:bookmarkStart w:id="20" w:name="_Toc95118805"/>
      <w:bookmarkStart w:id="21" w:name="_Toc109128014"/>
      <w:bookmarkStart w:id="22" w:name="_Hlk110546266"/>
      <w:bookmarkEnd w:id="14"/>
      <w:bookmarkEnd w:id="15"/>
      <w:bookmarkEnd w:id="16"/>
      <w:r w:rsidR="00115B39" w:rsidRPr="001159E7">
        <w:t>Typy działań możliwych do sfinansowania z</w:t>
      </w:r>
      <w:r w:rsidR="00115B39" w:rsidRPr="00262E7B">
        <w:t> pomocy technicznej</w:t>
      </w:r>
      <w:bookmarkEnd w:id="17"/>
      <w:bookmarkEnd w:id="18"/>
      <w:bookmarkEnd w:id="19"/>
      <w:bookmarkEnd w:id="20"/>
      <w:bookmarkEnd w:id="21"/>
    </w:p>
    <w:bookmarkEnd w:id="22"/>
    <w:p w14:paraId="591E2C8C" w14:textId="1B2E09A3" w:rsidR="00115B39" w:rsidRPr="002245F9" w:rsidRDefault="00115B39" w:rsidP="00115B39">
      <w:pPr>
        <w:pStyle w:val="CM1"/>
        <w:numPr>
          <w:ilvl w:val="0"/>
          <w:numId w:val="22"/>
        </w:numPr>
        <w:ind w:left="357" w:hanging="357"/>
        <w:rPr>
          <w:rFonts w:ascii="Arial" w:hAnsi="Arial" w:cs="Arial"/>
        </w:rPr>
      </w:pPr>
      <w:r w:rsidRPr="002245F9">
        <w:rPr>
          <w:rFonts w:ascii="Arial" w:hAnsi="Arial" w:cs="Arial"/>
        </w:rPr>
        <w:t>Zgodnie z art. 36 rozporządzenia ogólnego pomoc techniczna służy wsparciu działań niezbędnych do skutecznego zarządzania i wykorzystania funduszy, z uwzględnieniem budowania potencjału partnerów, a także wykonywania m.in. funkcji związanych z przygotowaniem, szkoleniem, zarządzaniem, audytem i</w:t>
      </w:r>
      <w:r>
        <w:rPr>
          <w:rFonts w:ascii="Arial" w:hAnsi="Arial" w:cs="Arial"/>
        </w:rPr>
        <w:t> </w:t>
      </w:r>
      <w:r w:rsidRPr="002245F9">
        <w:rPr>
          <w:rFonts w:ascii="Arial" w:hAnsi="Arial" w:cs="Arial"/>
        </w:rPr>
        <w:t xml:space="preserve">kontrolą, monitorowaniem, ewaluacją, informacją i promocją. Działania te mogą dotyczyć bieżącego, a także </w:t>
      </w:r>
      <w:r w:rsidR="001F3B97">
        <w:rPr>
          <w:rFonts w:ascii="Arial" w:hAnsi="Arial" w:cs="Arial"/>
        </w:rPr>
        <w:t>kolejnego i poprzednich</w:t>
      </w:r>
      <w:r w:rsidR="001F3B97" w:rsidRPr="002245F9">
        <w:rPr>
          <w:rFonts w:ascii="Arial" w:hAnsi="Arial" w:cs="Arial"/>
        </w:rPr>
        <w:t xml:space="preserve"> </w:t>
      </w:r>
      <w:r w:rsidRPr="002245F9">
        <w:rPr>
          <w:rFonts w:ascii="Arial" w:hAnsi="Arial" w:cs="Arial"/>
        </w:rPr>
        <w:t>okresów programowania.</w:t>
      </w:r>
    </w:p>
    <w:p w14:paraId="759FE72D" w14:textId="77777777" w:rsidR="00115B39" w:rsidRPr="002245F9" w:rsidRDefault="00115B39" w:rsidP="00115B39">
      <w:pPr>
        <w:pStyle w:val="CM1"/>
        <w:numPr>
          <w:ilvl w:val="0"/>
          <w:numId w:val="22"/>
        </w:numPr>
        <w:ind w:left="357" w:hanging="357"/>
        <w:rPr>
          <w:rFonts w:ascii="Arial" w:hAnsi="Arial" w:cs="Arial"/>
        </w:rPr>
      </w:pPr>
      <w:r w:rsidRPr="002245F9">
        <w:rPr>
          <w:rFonts w:ascii="Arial" w:hAnsi="Arial" w:cs="Arial"/>
        </w:rPr>
        <w:lastRenderedPageBreak/>
        <w:t>Ze środków pomocy technicznej mogą być finansowane w szczególności następujące typy działań</w:t>
      </w:r>
      <w:r>
        <w:rPr>
          <w:rStyle w:val="Odwoanieprzypisudolnego"/>
          <w:rFonts w:ascii="Arial" w:hAnsi="Arial"/>
        </w:rPr>
        <w:footnoteReference w:id="2"/>
      </w:r>
      <w:r w:rsidRPr="002245F9">
        <w:rPr>
          <w:rFonts w:ascii="Arial" w:hAnsi="Arial" w:cs="Arial"/>
        </w:rPr>
        <w:t>:</w:t>
      </w:r>
    </w:p>
    <w:p w14:paraId="12748DE8"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wsparcie zatrudnienia pracowników instytucji zaangażowanych w realizację polityki spójności,</w:t>
      </w:r>
    </w:p>
    <w:p w14:paraId="1C74A7C5" w14:textId="77777777" w:rsidR="00115B39" w:rsidRPr="002245F9" w:rsidRDefault="00115B39" w:rsidP="00115B39">
      <w:pPr>
        <w:pStyle w:val="CM1"/>
        <w:numPr>
          <w:ilvl w:val="0"/>
          <w:numId w:val="6"/>
        </w:numPr>
        <w:spacing w:before="0" w:after="0"/>
        <w:rPr>
          <w:rFonts w:ascii="Arial" w:hAnsi="Arial" w:cs="Arial"/>
        </w:rPr>
      </w:pPr>
      <w:r w:rsidRPr="002245F9">
        <w:rPr>
          <w:rFonts w:ascii="Arial" w:hAnsi="Arial" w:cs="Arial"/>
        </w:rPr>
        <w:t>podnoszenie kwalifikacji pracowników instytucji zaangażowanych w realizację polityki spójności,</w:t>
      </w:r>
    </w:p>
    <w:p w14:paraId="4254E3AB"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działania skutkujące wzrostem efektywności procesów ZZL, tj. np. opracowanie i wdrożenie strategii ZZL, monitorowanie satysfakcji pracowników, wsparcie modernizacji i cyfryzacji procesów ZZL, upowszechnienie elastycznych i atrakcyjnych form pracy i</w:t>
      </w:r>
      <w:r>
        <w:rPr>
          <w:rFonts w:ascii="Arial" w:hAnsi="Arial" w:cs="Arial"/>
        </w:rPr>
        <w:t> </w:t>
      </w:r>
      <w:r w:rsidRPr="002245F9">
        <w:rPr>
          <w:rFonts w:ascii="Arial" w:hAnsi="Arial" w:cs="Arial"/>
        </w:rPr>
        <w:t>rozwój świadczeń pozapłacowych,</w:t>
      </w:r>
    </w:p>
    <w:p w14:paraId="4DAEEC50"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wprowadzenie ZZL na poziomie całego systemu wdrażania funduszy,</w:t>
      </w:r>
    </w:p>
    <w:p w14:paraId="4AACA70F"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finansowanie kosztów organizacyjnych, technicznych i administracyjnych niezbędnych do zapewnienia sprawnego funkcjonowania instytucji zaangażowanych we wdrażanie funduszy polityki spójności,</w:t>
      </w:r>
    </w:p>
    <w:p w14:paraId="5C91B6CD"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budowa, wdrożenie i utrzymanie systemów informatycznych (wraz z</w:t>
      </w:r>
      <w:r>
        <w:rPr>
          <w:rFonts w:ascii="Arial" w:hAnsi="Arial" w:cs="Arial"/>
        </w:rPr>
        <w:t> </w:t>
      </w:r>
      <w:r w:rsidRPr="002245F9">
        <w:rPr>
          <w:rFonts w:ascii="Arial" w:hAnsi="Arial" w:cs="Arial"/>
        </w:rPr>
        <w:t>niezbędną infrastrukturą teleinformatyczną),</w:t>
      </w:r>
    </w:p>
    <w:p w14:paraId="5D1EB3D5"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przygotowanie i przeprowadzenie analiz, badań, ewaluacji</w:t>
      </w:r>
      <w:r>
        <w:rPr>
          <w:rFonts w:ascii="Arial" w:hAnsi="Arial" w:cs="Arial"/>
        </w:rPr>
        <w:t xml:space="preserve"> (w tym gromadzenie danych)</w:t>
      </w:r>
      <w:r w:rsidRPr="002245F9">
        <w:rPr>
          <w:rFonts w:ascii="Arial" w:hAnsi="Arial" w:cs="Arial"/>
        </w:rPr>
        <w:t>, sprawozdań, opinii prawnych, doradztwa prawnego oraz finansowanie pomocy ekspertów zewnętrznych,</w:t>
      </w:r>
    </w:p>
    <w:p w14:paraId="7DE5D8A7"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 xml:space="preserve">wsparcie Rzecznika Funduszy Europejskich, w tym działań zmierzających do usprawnienia wdrażania FE (np. w obszarze kompetencji, organizacji, uproszczenia procedur i redukowania zbędnych obciążeń), </w:t>
      </w:r>
    </w:p>
    <w:p w14:paraId="75B57C8B" w14:textId="77777777" w:rsidR="00115B39" w:rsidRPr="002245F9" w:rsidRDefault="00115B39" w:rsidP="00115B39">
      <w:pPr>
        <w:pStyle w:val="Default"/>
        <w:numPr>
          <w:ilvl w:val="0"/>
          <w:numId w:val="6"/>
        </w:numPr>
        <w:spacing w:before="0" w:after="0"/>
        <w:contextualSpacing/>
        <w:rPr>
          <w:rFonts w:ascii="Arial" w:hAnsi="Arial" w:cs="Arial"/>
        </w:rPr>
      </w:pPr>
      <w:r w:rsidRPr="002245F9">
        <w:rPr>
          <w:rFonts w:ascii="Arial" w:hAnsi="Arial" w:cs="Arial"/>
        </w:rPr>
        <w:t xml:space="preserve">wsparcie procesów wyboru projektów, monitorowania, kontroli, audytu, </w:t>
      </w:r>
      <w:r w:rsidRPr="00C91DA0">
        <w:rPr>
          <w:rFonts w:ascii="Arial" w:hAnsi="Arial" w:cs="Arial"/>
        </w:rPr>
        <w:t>przeciwdziałania nadużyciom, korygowania nieprawidłowości (w tym odzyskiwania środków)</w:t>
      </w:r>
      <w:r w:rsidRPr="002245F9">
        <w:rPr>
          <w:rFonts w:ascii="Arial" w:hAnsi="Arial" w:cs="Arial"/>
        </w:rPr>
        <w:t>, procedur odwoławczych oraz certyfikacji wydatków,</w:t>
      </w:r>
    </w:p>
    <w:p w14:paraId="4E77E6B1" w14:textId="77777777" w:rsidR="00115B39" w:rsidRPr="002245F9" w:rsidRDefault="00115B39" w:rsidP="00115B39">
      <w:pPr>
        <w:pStyle w:val="Default"/>
        <w:numPr>
          <w:ilvl w:val="0"/>
          <w:numId w:val="6"/>
        </w:numPr>
        <w:spacing w:before="0" w:after="0"/>
        <w:contextualSpacing/>
        <w:rPr>
          <w:rFonts w:ascii="Arial" w:hAnsi="Arial" w:cs="Arial"/>
        </w:rPr>
      </w:pPr>
      <w:r w:rsidRPr="002245F9">
        <w:rPr>
          <w:rFonts w:ascii="Arial" w:hAnsi="Arial" w:cs="Arial"/>
        </w:rPr>
        <w:t>przygotowanie kolejnej perspektywy finansowej,</w:t>
      </w:r>
    </w:p>
    <w:p w14:paraId="68D9FA6D"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obsługa funkcjonowania komitetów monitorujących, grup roboczych, sieci tematycznych itp.,</w:t>
      </w:r>
    </w:p>
    <w:p w14:paraId="0D69178B" w14:textId="5034645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lastRenderedPageBreak/>
        <w:t xml:space="preserve">wsparcie procesu wymiany doświadczeń i informacji pomiędzy uczestnikami systemu realizacji polityki spójności oraz inicjatyw współfinansowanych ze środków </w:t>
      </w:r>
      <w:r w:rsidR="001159E7">
        <w:rPr>
          <w:rFonts w:ascii="Arial" w:hAnsi="Arial" w:cs="Arial"/>
        </w:rPr>
        <w:t>UE</w:t>
      </w:r>
      <w:r w:rsidRPr="002245F9">
        <w:rPr>
          <w:rFonts w:ascii="Arial" w:hAnsi="Arial" w:cs="Arial"/>
        </w:rPr>
        <w:t>,</w:t>
      </w:r>
    </w:p>
    <w:p w14:paraId="13B8F136" w14:textId="77777777" w:rsidR="00115B39" w:rsidRPr="002245F9" w:rsidRDefault="00115B39" w:rsidP="00115B39">
      <w:pPr>
        <w:pStyle w:val="CM1"/>
        <w:numPr>
          <w:ilvl w:val="0"/>
          <w:numId w:val="6"/>
        </w:numPr>
        <w:spacing w:before="0" w:after="0"/>
        <w:contextualSpacing/>
        <w:rPr>
          <w:rFonts w:ascii="Arial" w:hAnsi="Arial" w:cs="Arial"/>
        </w:rPr>
      </w:pPr>
      <w:r w:rsidRPr="002245F9">
        <w:rPr>
          <w:rFonts w:ascii="Arial" w:hAnsi="Arial" w:cs="Arial"/>
        </w:rPr>
        <w:t>wzmocnienie zasad: partnerstwa, zrównoważonego rozwoju, równości szans i</w:t>
      </w:r>
      <w:r>
        <w:rPr>
          <w:rFonts w:ascii="Arial" w:hAnsi="Arial" w:cs="Arial"/>
        </w:rPr>
        <w:t> </w:t>
      </w:r>
      <w:r w:rsidRPr="002245F9">
        <w:rPr>
          <w:rFonts w:ascii="Arial" w:hAnsi="Arial" w:cs="Arial"/>
        </w:rPr>
        <w:t xml:space="preserve">niedyskryminacji </w:t>
      </w:r>
      <w:r w:rsidRPr="007B3294">
        <w:rPr>
          <w:rFonts w:ascii="Arial" w:hAnsi="Arial" w:cs="Arial"/>
        </w:rPr>
        <w:t>w tym dostępności dla osób z niepełnosprawnościami</w:t>
      </w:r>
      <w:r>
        <w:rPr>
          <w:rFonts w:ascii="Arial" w:hAnsi="Arial" w:cs="Arial"/>
        </w:rPr>
        <w:t xml:space="preserve"> </w:t>
      </w:r>
      <w:r w:rsidRPr="002245F9">
        <w:rPr>
          <w:rFonts w:ascii="Arial" w:hAnsi="Arial" w:cs="Arial"/>
        </w:rPr>
        <w:t>a</w:t>
      </w:r>
      <w:r>
        <w:rPr>
          <w:rFonts w:ascii="Arial" w:hAnsi="Arial" w:cs="Arial"/>
        </w:rPr>
        <w:t> </w:t>
      </w:r>
      <w:r w:rsidRPr="002245F9">
        <w:rPr>
          <w:rFonts w:ascii="Arial" w:hAnsi="Arial" w:cs="Arial"/>
        </w:rPr>
        <w:t>także równości szans kobiet i mężczyzn,</w:t>
      </w:r>
    </w:p>
    <w:p w14:paraId="390A638F" w14:textId="77777777" w:rsidR="00115B39" w:rsidRPr="002245F9" w:rsidRDefault="00115B39" w:rsidP="00115B39">
      <w:pPr>
        <w:pStyle w:val="Default"/>
        <w:numPr>
          <w:ilvl w:val="0"/>
          <w:numId w:val="6"/>
        </w:numPr>
        <w:spacing w:before="0" w:after="0"/>
        <w:contextualSpacing/>
        <w:rPr>
          <w:rFonts w:ascii="Arial" w:hAnsi="Arial" w:cs="Arial"/>
        </w:rPr>
      </w:pPr>
      <w:r w:rsidRPr="002245F9">
        <w:rPr>
          <w:rFonts w:ascii="Arial" w:hAnsi="Arial" w:cs="Arial"/>
        </w:rPr>
        <w:t>wsparcie beneficjentów w zakresie przygotowania i realizacji projektów,</w:t>
      </w:r>
    </w:p>
    <w:p w14:paraId="5E9A2E9A" w14:textId="77777777" w:rsidR="00115B39" w:rsidRPr="002245F9" w:rsidRDefault="00115B39" w:rsidP="00115B39">
      <w:pPr>
        <w:pStyle w:val="Default"/>
        <w:numPr>
          <w:ilvl w:val="0"/>
          <w:numId w:val="6"/>
        </w:numPr>
        <w:spacing w:before="0" w:after="0"/>
        <w:contextualSpacing/>
        <w:rPr>
          <w:rFonts w:ascii="Arial" w:hAnsi="Arial" w:cs="Arial"/>
        </w:rPr>
      </w:pPr>
      <w:r w:rsidRPr="002245F9">
        <w:rPr>
          <w:rFonts w:ascii="Arial" w:hAnsi="Arial" w:cs="Arial"/>
        </w:rPr>
        <w:t>działania edukacyjne dla beneficjentów i potencjalnych beneficjentów,</w:t>
      </w:r>
    </w:p>
    <w:p w14:paraId="5BFAB8FD" w14:textId="77777777" w:rsidR="00115B39" w:rsidRPr="002245F9" w:rsidRDefault="00115B39" w:rsidP="00115B39">
      <w:pPr>
        <w:pStyle w:val="Default"/>
        <w:numPr>
          <w:ilvl w:val="0"/>
          <w:numId w:val="6"/>
        </w:numPr>
        <w:spacing w:before="0" w:after="0"/>
        <w:contextualSpacing/>
        <w:rPr>
          <w:rFonts w:ascii="Arial" w:hAnsi="Arial" w:cs="Arial"/>
        </w:rPr>
      </w:pPr>
      <w:r w:rsidRPr="002245F9">
        <w:rPr>
          <w:rFonts w:ascii="Arial" w:hAnsi="Arial" w:cs="Arial"/>
        </w:rPr>
        <w:t>wsparcie funkcjonowania ZIT,</w:t>
      </w:r>
    </w:p>
    <w:p w14:paraId="3C97A318" w14:textId="77777777" w:rsidR="00115B39" w:rsidRDefault="00115B39" w:rsidP="00115B39">
      <w:pPr>
        <w:pStyle w:val="CM1"/>
        <w:numPr>
          <w:ilvl w:val="0"/>
          <w:numId w:val="6"/>
        </w:numPr>
        <w:spacing w:before="0" w:after="0"/>
        <w:contextualSpacing/>
        <w:rPr>
          <w:rFonts w:ascii="Arial" w:hAnsi="Arial" w:cs="Arial"/>
        </w:rPr>
      </w:pPr>
      <w:r w:rsidRPr="002245F9">
        <w:rPr>
          <w:rFonts w:ascii="Arial" w:hAnsi="Arial" w:cs="Arial"/>
        </w:rPr>
        <w:t>informacja i promocja funduszy polityki spójności</w:t>
      </w:r>
      <w:r>
        <w:rPr>
          <w:rFonts w:ascii="Arial" w:hAnsi="Arial" w:cs="Arial"/>
        </w:rPr>
        <w:t>,</w:t>
      </w:r>
    </w:p>
    <w:p w14:paraId="205899C0" w14:textId="77777777" w:rsidR="00115B39" w:rsidRPr="00763640" w:rsidRDefault="00115B39" w:rsidP="00115B39">
      <w:pPr>
        <w:pStyle w:val="Default"/>
        <w:numPr>
          <w:ilvl w:val="0"/>
          <w:numId w:val="6"/>
        </w:numPr>
        <w:spacing w:before="0" w:after="0"/>
        <w:contextualSpacing/>
        <w:rPr>
          <w:rFonts w:ascii="Arial" w:hAnsi="Arial" w:cs="Arial"/>
        </w:rPr>
      </w:pPr>
      <w:r w:rsidRPr="00763640">
        <w:rPr>
          <w:rFonts w:ascii="Arial" w:hAnsi="Arial" w:cs="Arial"/>
        </w:rPr>
        <w:t xml:space="preserve">przedsięwzięcia związane z zamykaniem perspektyw </w:t>
      </w:r>
      <w:r>
        <w:rPr>
          <w:rFonts w:ascii="Arial" w:hAnsi="Arial" w:cs="Arial"/>
        </w:rPr>
        <w:t xml:space="preserve">2014-2020 oraz </w:t>
      </w:r>
      <w:r w:rsidRPr="00763640">
        <w:rPr>
          <w:rFonts w:ascii="Arial" w:hAnsi="Arial" w:cs="Arial"/>
        </w:rPr>
        <w:t>2021-2027.</w:t>
      </w:r>
    </w:p>
    <w:p w14:paraId="020F1FEA" w14:textId="77777777" w:rsidR="00115B39" w:rsidRPr="002245F9" w:rsidRDefault="00115B39" w:rsidP="00115B39">
      <w:pPr>
        <w:pStyle w:val="CM1"/>
        <w:numPr>
          <w:ilvl w:val="0"/>
          <w:numId w:val="22"/>
        </w:numPr>
        <w:ind w:left="357" w:hanging="357"/>
        <w:contextualSpacing/>
        <w:rPr>
          <w:rFonts w:ascii="Arial" w:hAnsi="Arial" w:cs="Arial"/>
        </w:rPr>
      </w:pPr>
      <w:r w:rsidRPr="002245F9">
        <w:rPr>
          <w:rFonts w:ascii="Arial" w:hAnsi="Arial" w:cs="Arial"/>
        </w:rPr>
        <w:t>Zgodnie z przepisami rozporządzenia ogólnego każdy z funduszy może wspierać działania w zakresie pomocy technicznej kwalifikowalne w ramach dowolnego z pozostałych funduszy.</w:t>
      </w:r>
    </w:p>
    <w:p w14:paraId="1947FA39" w14:textId="477E2647" w:rsidR="00115B39" w:rsidRPr="00764127" w:rsidRDefault="001159E7" w:rsidP="007C47BC">
      <w:pPr>
        <w:pStyle w:val="Nagwek1"/>
      </w:pPr>
      <w:bookmarkStart w:id="23" w:name="_Toc88552849"/>
      <w:bookmarkStart w:id="24" w:name="_Toc88553216"/>
      <w:bookmarkStart w:id="25" w:name="_Toc88553274"/>
      <w:bookmarkStart w:id="26" w:name="_Toc95118806"/>
      <w:bookmarkStart w:id="27" w:name="_Toc88552850"/>
      <w:bookmarkStart w:id="28" w:name="_Toc88553217"/>
      <w:bookmarkStart w:id="29" w:name="_Toc88553275"/>
      <w:bookmarkStart w:id="30" w:name="_Toc95118807"/>
      <w:bookmarkStart w:id="31" w:name="_Toc88553276"/>
      <w:bookmarkStart w:id="32" w:name="_Toc95118808"/>
      <w:bookmarkStart w:id="33" w:name="_Toc109128015"/>
      <w:bookmarkStart w:id="34" w:name="_Toc110601969"/>
      <w:bookmarkEnd w:id="23"/>
      <w:bookmarkEnd w:id="24"/>
      <w:bookmarkEnd w:id="25"/>
      <w:bookmarkEnd w:id="26"/>
      <w:bookmarkEnd w:id="27"/>
      <w:bookmarkEnd w:id="28"/>
      <w:bookmarkEnd w:id="29"/>
      <w:bookmarkEnd w:id="30"/>
      <w:r>
        <w:t xml:space="preserve">Rozdział 3. </w:t>
      </w:r>
      <w:r w:rsidR="00115B39" w:rsidRPr="00764127">
        <w:t>Rozwój ZZL</w:t>
      </w:r>
      <w:bookmarkEnd w:id="31"/>
      <w:bookmarkEnd w:id="32"/>
      <w:bookmarkEnd w:id="33"/>
      <w:bookmarkEnd w:id="34"/>
    </w:p>
    <w:p w14:paraId="7957289C" w14:textId="3AEFA96C" w:rsidR="00115B39" w:rsidRPr="002245F9" w:rsidRDefault="00115B39" w:rsidP="007C47BC">
      <w:pPr>
        <w:pStyle w:val="CM1"/>
        <w:numPr>
          <w:ilvl w:val="0"/>
          <w:numId w:val="33"/>
        </w:numPr>
        <w:ind w:left="357" w:hanging="357"/>
        <w:rPr>
          <w:rFonts w:ascii="Arial" w:hAnsi="Arial" w:cs="Arial"/>
        </w:rPr>
      </w:pPr>
      <w:r w:rsidRPr="002245F9">
        <w:rPr>
          <w:rFonts w:ascii="Arial" w:hAnsi="Arial" w:cs="Arial"/>
        </w:rPr>
        <w:t>Kompleksowe, nowoczesne działania rozwojowe, opisane zostały szczegółowo w</w:t>
      </w:r>
      <w:r>
        <w:rPr>
          <w:rFonts w:ascii="Arial" w:hAnsi="Arial" w:cs="Arial"/>
        </w:rPr>
        <w:t> </w:t>
      </w:r>
      <w:r w:rsidRPr="002245F9">
        <w:rPr>
          <w:rFonts w:ascii="Arial" w:hAnsi="Arial" w:cs="Arial"/>
        </w:rPr>
        <w:t>PZZL. Rekomenduje się ich wprowadzenie we wszystkich instytucjach zaangażowanych we wdrażanie polityki spójności zarówno na szczeblu krajowym jak i regionalnym.</w:t>
      </w:r>
    </w:p>
    <w:p w14:paraId="1FBDD997" w14:textId="771ADDB6" w:rsidR="00115B39" w:rsidRPr="002245F9" w:rsidRDefault="00115B39" w:rsidP="007C47BC">
      <w:pPr>
        <w:pStyle w:val="CM1"/>
        <w:numPr>
          <w:ilvl w:val="0"/>
          <w:numId w:val="33"/>
        </w:numPr>
        <w:spacing w:after="0"/>
        <w:ind w:left="357" w:hanging="357"/>
        <w:rPr>
          <w:rFonts w:ascii="Arial" w:hAnsi="Arial" w:cs="Arial"/>
        </w:rPr>
      </w:pPr>
      <w:r w:rsidRPr="002245F9">
        <w:rPr>
          <w:rFonts w:ascii="Arial" w:hAnsi="Arial" w:cs="Arial"/>
        </w:rPr>
        <w:t xml:space="preserve">W ramach pomocy technicznej będą </w:t>
      </w:r>
      <w:r>
        <w:rPr>
          <w:rFonts w:ascii="Arial" w:hAnsi="Arial" w:cs="Arial"/>
        </w:rPr>
        <w:t xml:space="preserve">kwalifikowalne poniżej wymienione </w:t>
      </w:r>
      <w:r w:rsidRPr="002245F9">
        <w:rPr>
          <w:rFonts w:ascii="Arial" w:hAnsi="Arial" w:cs="Arial"/>
        </w:rPr>
        <w:t>działania w</w:t>
      </w:r>
      <w:r>
        <w:rPr>
          <w:rFonts w:ascii="Arial" w:hAnsi="Arial" w:cs="Arial"/>
        </w:rPr>
        <w:t> </w:t>
      </w:r>
      <w:r w:rsidRPr="002245F9">
        <w:rPr>
          <w:rFonts w:ascii="Arial" w:hAnsi="Arial" w:cs="Arial"/>
        </w:rPr>
        <w:t>celu zapewnienia stabilnego, odpornego na zmiany</w:t>
      </w:r>
      <w:r>
        <w:rPr>
          <w:rFonts w:ascii="Arial" w:hAnsi="Arial" w:cs="Arial"/>
        </w:rPr>
        <w:t>,</w:t>
      </w:r>
      <w:r w:rsidRPr="002245F9">
        <w:rPr>
          <w:rFonts w:ascii="Arial" w:hAnsi="Arial" w:cs="Arial"/>
        </w:rPr>
        <w:t xml:space="preserve"> systemu finansowania wynagrodzeń i</w:t>
      </w:r>
      <w:r>
        <w:rPr>
          <w:rFonts w:ascii="Arial" w:hAnsi="Arial" w:cs="Arial"/>
        </w:rPr>
        <w:t> </w:t>
      </w:r>
      <w:r w:rsidRPr="002245F9">
        <w:rPr>
          <w:rFonts w:ascii="Arial" w:hAnsi="Arial" w:cs="Arial"/>
        </w:rPr>
        <w:t>podnoszenia kompetencji pracowników oraz inn</w:t>
      </w:r>
      <w:r>
        <w:rPr>
          <w:rFonts w:ascii="Arial" w:hAnsi="Arial" w:cs="Arial"/>
        </w:rPr>
        <w:t>e</w:t>
      </w:r>
      <w:r w:rsidRPr="002245F9">
        <w:rPr>
          <w:rFonts w:ascii="Arial" w:hAnsi="Arial" w:cs="Arial"/>
        </w:rPr>
        <w:t xml:space="preserve"> działa</w:t>
      </w:r>
      <w:r>
        <w:rPr>
          <w:rFonts w:ascii="Arial" w:hAnsi="Arial" w:cs="Arial"/>
        </w:rPr>
        <w:t>nia</w:t>
      </w:r>
      <w:r w:rsidRPr="002245F9">
        <w:rPr>
          <w:rFonts w:ascii="Arial" w:hAnsi="Arial" w:cs="Arial"/>
        </w:rPr>
        <w:t xml:space="preserve"> w</w:t>
      </w:r>
      <w:r>
        <w:rPr>
          <w:rFonts w:ascii="Arial" w:hAnsi="Arial" w:cs="Arial"/>
        </w:rPr>
        <w:t> </w:t>
      </w:r>
      <w:r w:rsidRPr="002245F9">
        <w:rPr>
          <w:rFonts w:ascii="Arial" w:hAnsi="Arial" w:cs="Arial"/>
        </w:rPr>
        <w:t xml:space="preserve">obszarze </w:t>
      </w:r>
      <w:r w:rsidRPr="00E12D4A">
        <w:rPr>
          <w:rFonts w:ascii="Arial" w:hAnsi="Arial" w:cs="Arial"/>
        </w:rPr>
        <w:t>zarządzania zasobami ludzkimi instytucji zaangażowanych we wdrażanie polityki spójności w perspektywie 2021-2027</w:t>
      </w:r>
      <w:r>
        <w:rPr>
          <w:rFonts w:ascii="Arial" w:hAnsi="Arial" w:cs="Arial"/>
        </w:rPr>
        <w:t>:</w:t>
      </w:r>
    </w:p>
    <w:p w14:paraId="51514581" w14:textId="77777777" w:rsidR="00115B39" w:rsidRPr="002245F9" w:rsidRDefault="00115B39" w:rsidP="007C47BC">
      <w:pPr>
        <w:pStyle w:val="CM1"/>
        <w:numPr>
          <w:ilvl w:val="0"/>
          <w:numId w:val="23"/>
        </w:numPr>
        <w:spacing w:after="0"/>
        <w:ind w:left="714" w:hanging="357"/>
        <w:rPr>
          <w:rFonts w:ascii="Arial" w:hAnsi="Arial" w:cs="Arial"/>
        </w:rPr>
      </w:pPr>
      <w:r>
        <w:rPr>
          <w:rFonts w:ascii="Arial" w:hAnsi="Arial" w:cs="Arial"/>
        </w:rPr>
        <w:t>D</w:t>
      </w:r>
      <w:r w:rsidRPr="00E12D4A">
        <w:rPr>
          <w:rFonts w:ascii="Arial" w:hAnsi="Arial" w:cs="Arial"/>
        </w:rPr>
        <w:t>ziałania w</w:t>
      </w:r>
      <w:r>
        <w:rPr>
          <w:rFonts w:ascii="Arial" w:hAnsi="Arial" w:cs="Arial"/>
        </w:rPr>
        <w:t> </w:t>
      </w:r>
      <w:r w:rsidRPr="00E12D4A">
        <w:rPr>
          <w:rFonts w:ascii="Arial" w:hAnsi="Arial" w:cs="Arial"/>
        </w:rPr>
        <w:t xml:space="preserve">obszarze zmiany podejścia do </w:t>
      </w:r>
      <w:r>
        <w:rPr>
          <w:rFonts w:ascii="Arial" w:hAnsi="Arial" w:cs="Arial"/>
        </w:rPr>
        <w:t>ZZL</w:t>
      </w:r>
      <w:r w:rsidRPr="00E12D4A">
        <w:rPr>
          <w:rFonts w:ascii="Arial" w:hAnsi="Arial" w:cs="Arial"/>
        </w:rPr>
        <w:t>, w tym uwzględniające elastyczne rozwiązania dotyczące potrzeb pracowników. Do tych działań będą zaliczone odpowiednie narzędzia (np. zakup laptopów, telefonów) zapewniające ciągłość i</w:t>
      </w:r>
      <w:r>
        <w:rPr>
          <w:rFonts w:ascii="Arial" w:hAnsi="Arial" w:cs="Arial"/>
        </w:rPr>
        <w:t> </w:t>
      </w:r>
      <w:r w:rsidRPr="00E12D4A">
        <w:rPr>
          <w:rFonts w:ascii="Arial" w:hAnsi="Arial" w:cs="Arial"/>
        </w:rPr>
        <w:t xml:space="preserve">wysoką efektywność pracy instytucji w nieprzewidzianych sytuacjach </w:t>
      </w:r>
      <w:r>
        <w:rPr>
          <w:rFonts w:ascii="Arial" w:hAnsi="Arial" w:cs="Arial"/>
        </w:rPr>
        <w:t>(</w:t>
      </w:r>
      <w:r w:rsidRPr="00E12D4A">
        <w:rPr>
          <w:rFonts w:ascii="Arial" w:hAnsi="Arial" w:cs="Arial"/>
        </w:rPr>
        <w:t xml:space="preserve">np. </w:t>
      </w:r>
      <w:r>
        <w:rPr>
          <w:rFonts w:ascii="Arial" w:hAnsi="Arial" w:cs="Arial"/>
        </w:rPr>
        <w:t>w </w:t>
      </w:r>
      <w:r w:rsidRPr="00E12D4A">
        <w:rPr>
          <w:rFonts w:ascii="Arial" w:hAnsi="Arial" w:cs="Arial"/>
        </w:rPr>
        <w:t>stan</w:t>
      </w:r>
      <w:r>
        <w:rPr>
          <w:rFonts w:ascii="Arial" w:hAnsi="Arial" w:cs="Arial"/>
        </w:rPr>
        <w:t xml:space="preserve">ach </w:t>
      </w:r>
      <w:r w:rsidRPr="00E12D4A">
        <w:rPr>
          <w:rFonts w:ascii="Arial" w:hAnsi="Arial" w:cs="Arial"/>
        </w:rPr>
        <w:t>zagrożeń</w:t>
      </w:r>
      <w:r>
        <w:rPr>
          <w:rFonts w:ascii="Arial" w:hAnsi="Arial" w:cs="Arial"/>
        </w:rPr>
        <w:t>)</w:t>
      </w:r>
      <w:r w:rsidRPr="00E12D4A">
        <w:rPr>
          <w:rFonts w:ascii="Arial" w:hAnsi="Arial" w:cs="Arial"/>
        </w:rPr>
        <w:t>.</w:t>
      </w:r>
    </w:p>
    <w:p w14:paraId="35E442ED" w14:textId="77777777" w:rsidR="00115B39" w:rsidRPr="002245F9" w:rsidRDefault="00115B39" w:rsidP="007C47BC">
      <w:pPr>
        <w:pStyle w:val="CM1"/>
        <w:numPr>
          <w:ilvl w:val="0"/>
          <w:numId w:val="23"/>
        </w:numPr>
        <w:spacing w:before="0" w:after="0"/>
        <w:ind w:left="714" w:hanging="357"/>
        <w:rPr>
          <w:rFonts w:ascii="Arial" w:hAnsi="Arial" w:cs="Arial"/>
        </w:rPr>
      </w:pPr>
      <w:r w:rsidRPr="002245F9">
        <w:rPr>
          <w:rFonts w:ascii="Arial" w:hAnsi="Arial" w:cs="Arial"/>
        </w:rPr>
        <w:lastRenderedPageBreak/>
        <w:t>Zapewnienie odpowiednich kompetencji pracowników przez różnorodne, dopasowane do potrzeb formy szkoleniowe, zarówno tradycyjne (</w:t>
      </w:r>
      <w:r>
        <w:rPr>
          <w:rFonts w:ascii="Arial" w:hAnsi="Arial" w:cs="Arial"/>
        </w:rPr>
        <w:t>np</w:t>
      </w:r>
      <w:r w:rsidRPr="002245F9">
        <w:rPr>
          <w:rFonts w:ascii="Arial" w:hAnsi="Arial" w:cs="Arial"/>
        </w:rPr>
        <w:t>. warsztaty, kursy, studia), jak i nowoczesne (</w:t>
      </w:r>
      <w:r>
        <w:rPr>
          <w:rFonts w:ascii="Arial" w:hAnsi="Arial" w:cs="Arial"/>
        </w:rPr>
        <w:t>np</w:t>
      </w:r>
      <w:r w:rsidRPr="002245F9">
        <w:rPr>
          <w:rFonts w:ascii="Arial" w:hAnsi="Arial" w:cs="Arial"/>
        </w:rPr>
        <w:t xml:space="preserve">. </w:t>
      </w:r>
      <w:r>
        <w:rPr>
          <w:rFonts w:ascii="Arial" w:hAnsi="Arial" w:cs="Arial"/>
        </w:rPr>
        <w:t xml:space="preserve">wykorzystujące </w:t>
      </w:r>
      <w:r w:rsidRPr="00627525">
        <w:rPr>
          <w:rFonts w:ascii="Arial" w:hAnsi="Arial" w:cs="Arial"/>
        </w:rPr>
        <w:t>technologi</w:t>
      </w:r>
      <w:r>
        <w:rPr>
          <w:rFonts w:ascii="Arial" w:hAnsi="Arial" w:cs="Arial"/>
        </w:rPr>
        <w:t>ę</w:t>
      </w:r>
      <w:r w:rsidRPr="00627525">
        <w:rPr>
          <w:rFonts w:ascii="Arial" w:hAnsi="Arial" w:cs="Arial"/>
        </w:rPr>
        <w:t xml:space="preserve"> i narzędzi</w:t>
      </w:r>
      <w:r>
        <w:rPr>
          <w:rFonts w:ascii="Arial" w:hAnsi="Arial" w:cs="Arial"/>
        </w:rPr>
        <w:t>a</w:t>
      </w:r>
      <w:r w:rsidRPr="00627525">
        <w:rPr>
          <w:rFonts w:ascii="Arial" w:hAnsi="Arial" w:cs="Arial"/>
        </w:rPr>
        <w:t xml:space="preserve"> elektronicz</w:t>
      </w:r>
      <w:r>
        <w:rPr>
          <w:rFonts w:ascii="Arial" w:hAnsi="Arial" w:cs="Arial"/>
        </w:rPr>
        <w:t xml:space="preserve">ne (ang. </w:t>
      </w:r>
      <w:r w:rsidRPr="002245F9">
        <w:rPr>
          <w:rFonts w:ascii="Arial" w:hAnsi="Arial" w:cs="Arial"/>
        </w:rPr>
        <w:t>e-learning</w:t>
      </w:r>
      <w:r>
        <w:rPr>
          <w:rFonts w:ascii="Arial" w:hAnsi="Arial" w:cs="Arial"/>
        </w:rPr>
        <w:t>)</w:t>
      </w:r>
      <w:r w:rsidRPr="002245F9">
        <w:rPr>
          <w:rFonts w:ascii="Arial" w:hAnsi="Arial" w:cs="Arial"/>
        </w:rPr>
        <w:t xml:space="preserve">, współpraca </w:t>
      </w:r>
      <w:r>
        <w:rPr>
          <w:rFonts w:ascii="Arial" w:hAnsi="Arial" w:cs="Arial"/>
        </w:rPr>
        <w:t xml:space="preserve">z instytucjami w celu opracowania usprawnień </w:t>
      </w:r>
      <w:r w:rsidRPr="002245F9">
        <w:rPr>
          <w:rFonts w:ascii="Arial" w:hAnsi="Arial" w:cs="Arial"/>
        </w:rPr>
        <w:t>i</w:t>
      </w:r>
      <w:r>
        <w:rPr>
          <w:rFonts w:ascii="Arial" w:hAnsi="Arial" w:cs="Arial"/>
        </w:rPr>
        <w:t> </w:t>
      </w:r>
      <w:r w:rsidRPr="002245F9">
        <w:rPr>
          <w:rFonts w:ascii="Arial" w:hAnsi="Arial" w:cs="Arial"/>
        </w:rPr>
        <w:t>wymiana bliźniacza, akcje informacyjno-edukacyjne) a także rozszerzanie innych aspektów i prowadzenie aktywnej, innowacyjnej polityki wsparcia zasobów kadrowych.</w:t>
      </w:r>
    </w:p>
    <w:p w14:paraId="10E84881" w14:textId="77777777" w:rsidR="00115B39" w:rsidRPr="002245F9" w:rsidRDefault="00115B39" w:rsidP="007C47BC">
      <w:pPr>
        <w:pStyle w:val="Akapitzlist"/>
        <w:numPr>
          <w:ilvl w:val="0"/>
          <w:numId w:val="23"/>
        </w:numPr>
        <w:spacing w:after="120" w:line="360" w:lineRule="auto"/>
        <w:ind w:left="714" w:hanging="357"/>
        <w:rPr>
          <w:rFonts w:cs="Arial"/>
        </w:rPr>
      </w:pPr>
      <w:r>
        <w:rPr>
          <w:rFonts w:cs="Arial"/>
        </w:rPr>
        <w:t>Wdrożenie i utrzymanie</w:t>
      </w:r>
      <w:r w:rsidRPr="002245F9">
        <w:rPr>
          <w:rFonts w:cs="Arial"/>
        </w:rPr>
        <w:t xml:space="preserve"> nowoczesn</w:t>
      </w:r>
      <w:r>
        <w:rPr>
          <w:rFonts w:cs="Arial"/>
        </w:rPr>
        <w:t>ej</w:t>
      </w:r>
      <w:r w:rsidRPr="002245F9">
        <w:rPr>
          <w:rFonts w:cs="Arial"/>
        </w:rPr>
        <w:t xml:space="preserve"> internetow</w:t>
      </w:r>
      <w:r>
        <w:rPr>
          <w:rFonts w:cs="Arial"/>
        </w:rPr>
        <w:t>ej</w:t>
      </w:r>
      <w:r w:rsidRPr="002245F9">
        <w:rPr>
          <w:rFonts w:cs="Arial"/>
        </w:rPr>
        <w:t xml:space="preserve"> platform</w:t>
      </w:r>
      <w:r>
        <w:rPr>
          <w:rFonts w:cs="Arial"/>
        </w:rPr>
        <w:t>y</w:t>
      </w:r>
      <w:r w:rsidRPr="002245F9">
        <w:rPr>
          <w:rFonts w:cs="Arial"/>
        </w:rPr>
        <w:t xml:space="preserve"> ZZL w systemie wdrażania FE, która będzie narzędziem wdrożenia opracowanych w PZZL standardów i rekomendacji dotyczących ZZL wobec kadr FE w instytucjach. Umożliwi ona m.in. sprawne i szybkie prowadzenie procesów z zakresu rekrutacji, </w:t>
      </w:r>
      <w:r>
        <w:rPr>
          <w:rFonts w:cs="Arial"/>
        </w:rPr>
        <w:t>adaptację nowo zatrudnionego pracownika</w:t>
      </w:r>
      <w:r w:rsidRPr="002245F9">
        <w:rPr>
          <w:rFonts w:cs="Arial"/>
        </w:rPr>
        <w:t xml:space="preserve"> </w:t>
      </w:r>
      <w:r>
        <w:rPr>
          <w:rFonts w:cs="Arial"/>
        </w:rPr>
        <w:t xml:space="preserve">(ang. </w:t>
      </w:r>
      <w:r w:rsidRPr="002245F9">
        <w:rPr>
          <w:rFonts w:cs="Arial"/>
        </w:rPr>
        <w:t>onboarding</w:t>
      </w:r>
      <w:r>
        <w:rPr>
          <w:rFonts w:cs="Arial"/>
        </w:rPr>
        <w:t>)</w:t>
      </w:r>
      <w:r w:rsidRPr="002245F9">
        <w:rPr>
          <w:rFonts w:cs="Arial"/>
        </w:rPr>
        <w:t xml:space="preserve"> czy </w:t>
      </w:r>
      <w:r w:rsidRPr="001617EB">
        <w:rPr>
          <w:rFonts w:cs="Arial"/>
        </w:rPr>
        <w:t xml:space="preserve">budowanie wizerunku </w:t>
      </w:r>
      <w:r w:rsidRPr="009769D3">
        <w:rPr>
          <w:rFonts w:cs="Arial"/>
        </w:rPr>
        <w:t>systemu wdrażania FE jako atrakcyjnego miejsca prac</w:t>
      </w:r>
      <w:r w:rsidRPr="00FD45CA">
        <w:rPr>
          <w:rFonts w:cs="Arial"/>
        </w:rPr>
        <w:t>y</w:t>
      </w:r>
      <w:r w:rsidRPr="00FD45CA" w:rsidDel="009769D3">
        <w:rPr>
          <w:rFonts w:cs="Arial"/>
        </w:rPr>
        <w:t xml:space="preserve"> </w:t>
      </w:r>
      <w:r w:rsidRPr="00FD45CA">
        <w:rPr>
          <w:rFonts w:cs="Arial"/>
        </w:rPr>
        <w:t>(ang</w:t>
      </w:r>
      <w:r>
        <w:rPr>
          <w:rFonts w:cs="Arial"/>
        </w:rPr>
        <w:t xml:space="preserve">. </w:t>
      </w:r>
      <w:r w:rsidRPr="002245F9">
        <w:rPr>
          <w:rFonts w:cs="Arial"/>
        </w:rPr>
        <w:t>employer branding</w:t>
      </w:r>
      <w:r>
        <w:rPr>
          <w:rFonts w:cs="Arial"/>
        </w:rPr>
        <w:t>)</w:t>
      </w:r>
      <w:r w:rsidRPr="002245F9">
        <w:rPr>
          <w:rFonts w:cs="Arial"/>
        </w:rPr>
        <w:t>, ale także zapoznanie się z</w:t>
      </w:r>
      <w:r>
        <w:rPr>
          <w:rFonts w:cs="Arial"/>
        </w:rPr>
        <w:t> </w:t>
      </w:r>
      <w:r w:rsidRPr="002245F9">
        <w:rPr>
          <w:rFonts w:cs="Arial"/>
        </w:rPr>
        <w:t xml:space="preserve">aktualnymi ofertami szkoleń i staży oraz bieżący monitoring poziomu satysfakcji z pracy i </w:t>
      </w:r>
      <w:r>
        <w:rPr>
          <w:rFonts w:cs="Arial"/>
        </w:rPr>
        <w:t>w</w:t>
      </w:r>
      <w:r w:rsidRPr="001617EB">
        <w:rPr>
          <w:rFonts w:cs="Arial"/>
        </w:rPr>
        <w:t>ywiad z odchodzącym pracownikiem</w:t>
      </w:r>
      <w:r w:rsidRPr="002245F9">
        <w:rPr>
          <w:rFonts w:cs="Arial"/>
        </w:rPr>
        <w:t xml:space="preserve"> </w:t>
      </w:r>
      <w:r>
        <w:rPr>
          <w:rFonts w:cs="Arial"/>
        </w:rPr>
        <w:t xml:space="preserve">(ang. </w:t>
      </w:r>
      <w:r w:rsidRPr="002245F9">
        <w:rPr>
          <w:rFonts w:cs="Arial"/>
        </w:rPr>
        <w:t>exit interview</w:t>
      </w:r>
      <w:r>
        <w:rPr>
          <w:rFonts w:cs="Arial"/>
        </w:rPr>
        <w:t>)</w:t>
      </w:r>
      <w:r w:rsidRPr="002245F9">
        <w:rPr>
          <w:rFonts w:cs="Arial"/>
        </w:rPr>
        <w:t>.</w:t>
      </w:r>
    </w:p>
    <w:p w14:paraId="3A323E80" w14:textId="543E36B3" w:rsidR="00115B39" w:rsidRPr="00DF4EE1" w:rsidRDefault="00FA3D40" w:rsidP="007C47BC">
      <w:pPr>
        <w:pStyle w:val="Nagwek1"/>
      </w:pPr>
      <w:bookmarkStart w:id="35" w:name="_Toc402949617"/>
      <w:bookmarkStart w:id="36" w:name="_Toc402949701"/>
      <w:bookmarkStart w:id="37" w:name="_Toc402949745"/>
      <w:bookmarkStart w:id="38" w:name="_Toc402949958"/>
      <w:bookmarkStart w:id="39" w:name="_Toc402951161"/>
      <w:bookmarkStart w:id="40" w:name="_Toc88553277"/>
      <w:bookmarkStart w:id="41" w:name="_Toc95118809"/>
      <w:bookmarkStart w:id="42" w:name="_Toc109128016"/>
      <w:bookmarkStart w:id="43" w:name="_Toc110601970"/>
      <w:bookmarkStart w:id="44" w:name="_Toc382570644"/>
      <w:bookmarkEnd w:id="35"/>
      <w:bookmarkEnd w:id="36"/>
      <w:bookmarkEnd w:id="37"/>
      <w:bookmarkEnd w:id="38"/>
      <w:bookmarkEnd w:id="39"/>
      <w:r>
        <w:t xml:space="preserve">Rozdział 4. </w:t>
      </w:r>
      <w:r w:rsidR="00CC3257">
        <w:t>Wybór i</w:t>
      </w:r>
      <w:r w:rsidR="00115B39" w:rsidRPr="00DF4EE1">
        <w:t xml:space="preserve"> rozliczanie projektów</w:t>
      </w:r>
      <w:bookmarkEnd w:id="40"/>
      <w:bookmarkEnd w:id="41"/>
      <w:bookmarkEnd w:id="42"/>
      <w:bookmarkEnd w:id="43"/>
    </w:p>
    <w:p w14:paraId="349492D6" w14:textId="189DC76B" w:rsidR="00115B39" w:rsidRDefault="00115B39" w:rsidP="00115B39">
      <w:pPr>
        <w:pStyle w:val="Default"/>
        <w:numPr>
          <w:ilvl w:val="0"/>
          <w:numId w:val="25"/>
        </w:numPr>
        <w:ind w:left="357" w:hanging="357"/>
        <w:rPr>
          <w:rFonts w:ascii="Arial" w:hAnsi="Arial" w:cs="Arial"/>
        </w:rPr>
      </w:pPr>
      <w:bookmarkStart w:id="45" w:name="_Toc88552853"/>
      <w:bookmarkStart w:id="46" w:name="_Toc88553278"/>
      <w:bookmarkStart w:id="47" w:name="_Toc95118810"/>
      <w:r w:rsidRPr="002245F9">
        <w:rPr>
          <w:rFonts w:ascii="Arial" w:hAnsi="Arial" w:cs="Arial"/>
        </w:rPr>
        <w:t xml:space="preserve">Określenie warunków </w:t>
      </w:r>
      <w:r w:rsidR="007F2D9B">
        <w:rPr>
          <w:rFonts w:ascii="Arial" w:hAnsi="Arial" w:cs="Arial"/>
        </w:rPr>
        <w:t xml:space="preserve">i sposobu </w:t>
      </w:r>
      <w:r w:rsidRPr="002245F9">
        <w:rPr>
          <w:rFonts w:ascii="Arial" w:hAnsi="Arial" w:cs="Arial"/>
        </w:rPr>
        <w:t>wyboru projektów</w:t>
      </w:r>
      <w:r>
        <w:rPr>
          <w:rFonts w:ascii="Arial" w:hAnsi="Arial" w:cs="Arial"/>
        </w:rPr>
        <w:t xml:space="preserve"> </w:t>
      </w:r>
      <w:r w:rsidRPr="002245F9">
        <w:rPr>
          <w:rFonts w:ascii="Arial" w:hAnsi="Arial" w:cs="Arial"/>
          <w:color w:val="auto"/>
          <w:kern w:val="32"/>
          <w:szCs w:val="32"/>
          <w:lang w:eastAsia="pl-PL"/>
        </w:rPr>
        <w:t>pomocy technicznej</w:t>
      </w:r>
      <w:r>
        <w:rPr>
          <w:rFonts w:ascii="Arial" w:hAnsi="Arial" w:cs="Arial"/>
          <w:color w:val="auto"/>
          <w:kern w:val="32"/>
          <w:szCs w:val="32"/>
          <w:lang w:eastAsia="pl-PL"/>
        </w:rPr>
        <w:t xml:space="preserve"> </w:t>
      </w:r>
      <w:r w:rsidRPr="002245F9">
        <w:rPr>
          <w:rFonts w:ascii="Arial" w:hAnsi="Arial" w:cs="Arial"/>
        </w:rPr>
        <w:t>należy do zadań</w:t>
      </w:r>
      <w:r>
        <w:rPr>
          <w:rFonts w:ascii="Arial" w:hAnsi="Arial" w:cs="Arial"/>
        </w:rPr>
        <w:t xml:space="preserve"> </w:t>
      </w:r>
      <w:r w:rsidRPr="002245F9">
        <w:rPr>
          <w:rFonts w:ascii="Arial" w:hAnsi="Arial" w:cs="Arial"/>
        </w:rPr>
        <w:t>poszczególnych IZ.</w:t>
      </w:r>
      <w:bookmarkStart w:id="48" w:name="_Toc95118811"/>
      <w:bookmarkStart w:id="49" w:name="_Toc88552855"/>
      <w:bookmarkStart w:id="50" w:name="_Toc88553222"/>
      <w:bookmarkStart w:id="51" w:name="_Toc88553280"/>
      <w:bookmarkStart w:id="52" w:name="_Toc95118812"/>
      <w:bookmarkStart w:id="53" w:name="_Toc88552856"/>
      <w:bookmarkStart w:id="54" w:name="_Toc88553223"/>
      <w:bookmarkStart w:id="55" w:name="_Toc88553281"/>
      <w:bookmarkStart w:id="56" w:name="_Toc95118813"/>
      <w:bookmarkStart w:id="57" w:name="_Toc88552857"/>
      <w:bookmarkStart w:id="58" w:name="_Toc88553224"/>
      <w:bookmarkStart w:id="59" w:name="_Toc88553282"/>
      <w:bookmarkStart w:id="60" w:name="_Toc95118814"/>
      <w:bookmarkStart w:id="61" w:name="_Toc88552858"/>
      <w:bookmarkStart w:id="62" w:name="_Toc88553225"/>
      <w:bookmarkStart w:id="63" w:name="_Toc88553283"/>
      <w:bookmarkStart w:id="64" w:name="_Toc95118815"/>
      <w:bookmarkStart w:id="65" w:name="_Toc88552859"/>
      <w:bookmarkStart w:id="66" w:name="_Toc88553226"/>
      <w:bookmarkStart w:id="67" w:name="_Toc88553284"/>
      <w:bookmarkStart w:id="68" w:name="_Toc95118816"/>
      <w:bookmarkStart w:id="69" w:name="_Toc88552860"/>
      <w:bookmarkStart w:id="70" w:name="_Toc88553227"/>
      <w:bookmarkStart w:id="71" w:name="_Toc88553285"/>
      <w:bookmarkStart w:id="72" w:name="_Toc95118817"/>
      <w:bookmarkStart w:id="73" w:name="_Toc88552861"/>
      <w:bookmarkStart w:id="74" w:name="_Toc88553228"/>
      <w:bookmarkStart w:id="75" w:name="_Toc88553286"/>
      <w:bookmarkStart w:id="76" w:name="_Toc95118818"/>
      <w:bookmarkStart w:id="77" w:name="_Toc88552862"/>
      <w:bookmarkStart w:id="78" w:name="_Toc88553229"/>
      <w:bookmarkStart w:id="79" w:name="_Toc88553287"/>
      <w:bookmarkStart w:id="80" w:name="_Toc95118819"/>
      <w:bookmarkStart w:id="81" w:name="_Toc88552863"/>
      <w:bookmarkStart w:id="82" w:name="_Toc88553230"/>
      <w:bookmarkStart w:id="83" w:name="_Toc88553288"/>
      <w:bookmarkStart w:id="84" w:name="_Toc95118820"/>
      <w:bookmarkStart w:id="85" w:name="_Toc88552864"/>
      <w:bookmarkStart w:id="86" w:name="_Toc88553231"/>
      <w:bookmarkStart w:id="87" w:name="_Toc88553289"/>
      <w:bookmarkStart w:id="88" w:name="_Toc95118821"/>
      <w:bookmarkStart w:id="89" w:name="_Toc88552865"/>
      <w:bookmarkStart w:id="90" w:name="_Toc88553232"/>
      <w:bookmarkStart w:id="91" w:name="_Toc88553290"/>
      <w:bookmarkStart w:id="92" w:name="_Toc95118822"/>
      <w:bookmarkStart w:id="93" w:name="_Toc88552866"/>
      <w:bookmarkStart w:id="94" w:name="_Toc88553233"/>
      <w:bookmarkStart w:id="95" w:name="_Toc88553291"/>
      <w:bookmarkStart w:id="96" w:name="_Toc95118823"/>
      <w:bookmarkStart w:id="97" w:name="_Toc88552867"/>
      <w:bookmarkStart w:id="98" w:name="_Toc88553234"/>
      <w:bookmarkStart w:id="99" w:name="_Toc88553292"/>
      <w:bookmarkStart w:id="100" w:name="_Toc95118824"/>
      <w:bookmarkStart w:id="101" w:name="_Toc88552868"/>
      <w:bookmarkStart w:id="102" w:name="_Toc88553235"/>
      <w:bookmarkStart w:id="103" w:name="_Toc88553293"/>
      <w:bookmarkStart w:id="104" w:name="_Toc95118825"/>
      <w:bookmarkStart w:id="105" w:name="_Toc88552869"/>
      <w:bookmarkStart w:id="106" w:name="_Toc88553236"/>
      <w:bookmarkStart w:id="107" w:name="_Toc88553294"/>
      <w:bookmarkStart w:id="108" w:name="_Toc95118826"/>
      <w:bookmarkStart w:id="109" w:name="_Toc88552870"/>
      <w:bookmarkStart w:id="110" w:name="_Toc88553237"/>
      <w:bookmarkStart w:id="111" w:name="_Toc88553295"/>
      <w:bookmarkStart w:id="112" w:name="_Toc95118827"/>
      <w:bookmarkStart w:id="113" w:name="_Toc88552871"/>
      <w:bookmarkStart w:id="114" w:name="_Toc88553238"/>
      <w:bookmarkStart w:id="115" w:name="_Toc88553296"/>
      <w:bookmarkStart w:id="116" w:name="_Toc95118828"/>
      <w:bookmarkStart w:id="117" w:name="_Toc88552872"/>
      <w:bookmarkStart w:id="118" w:name="_Toc88553239"/>
      <w:bookmarkStart w:id="119" w:name="_Toc88553297"/>
      <w:bookmarkStart w:id="120" w:name="_Toc95118829"/>
      <w:bookmarkStart w:id="121" w:name="_Toc88552873"/>
      <w:bookmarkStart w:id="122" w:name="_Toc88553240"/>
      <w:bookmarkStart w:id="123" w:name="_Toc88553298"/>
      <w:bookmarkStart w:id="124" w:name="_Toc95118830"/>
      <w:bookmarkStart w:id="125" w:name="_Toc88552874"/>
      <w:bookmarkStart w:id="126" w:name="_Toc88553241"/>
      <w:bookmarkStart w:id="127" w:name="_Toc88553299"/>
      <w:bookmarkStart w:id="128" w:name="_Toc95118831"/>
      <w:bookmarkStart w:id="129" w:name="_Toc88552875"/>
      <w:bookmarkStart w:id="130" w:name="_Toc88553242"/>
      <w:bookmarkStart w:id="131" w:name="_Toc88553300"/>
      <w:bookmarkStart w:id="132" w:name="_Toc95118832"/>
      <w:bookmarkStart w:id="133" w:name="_Toc88552876"/>
      <w:bookmarkStart w:id="134" w:name="_Toc88553243"/>
      <w:bookmarkStart w:id="135" w:name="_Toc88553301"/>
      <w:bookmarkStart w:id="136" w:name="_Toc95118833"/>
      <w:bookmarkStart w:id="137" w:name="_Toc88552877"/>
      <w:bookmarkStart w:id="138" w:name="_Toc88553244"/>
      <w:bookmarkStart w:id="139" w:name="_Toc88553302"/>
      <w:bookmarkStart w:id="140" w:name="_Toc95118834"/>
      <w:bookmarkStart w:id="141" w:name="_Toc406578501"/>
      <w:bookmarkStart w:id="142" w:name="_Toc406578502"/>
      <w:bookmarkStart w:id="143" w:name="_Toc406578503"/>
      <w:bookmarkStart w:id="144" w:name="_Toc402949619"/>
      <w:bookmarkStart w:id="145" w:name="_Toc402949703"/>
      <w:bookmarkStart w:id="146" w:name="_Toc402949747"/>
      <w:bookmarkStart w:id="147" w:name="_Toc402949960"/>
      <w:bookmarkStart w:id="148" w:name="_Toc402951163"/>
      <w:bookmarkStart w:id="149" w:name="_Toc406578504"/>
      <w:bookmarkStart w:id="150" w:name="_Toc406578505"/>
      <w:bookmarkStart w:id="151" w:name="_Toc406578506"/>
      <w:bookmarkStart w:id="152" w:name="_Toc406578507"/>
      <w:bookmarkStart w:id="153" w:name="_Toc406578508"/>
      <w:bookmarkStart w:id="154" w:name="_Toc406578509"/>
      <w:bookmarkStart w:id="155" w:name="_Toc406578510"/>
      <w:bookmarkStart w:id="156" w:name="_Toc406578511"/>
      <w:bookmarkStart w:id="157" w:name="_Toc406578512"/>
      <w:bookmarkStart w:id="158" w:name="_Toc406578513"/>
      <w:bookmarkStart w:id="159" w:name="_Toc406578514"/>
      <w:bookmarkStart w:id="160" w:name="_Toc406578515"/>
      <w:bookmarkStart w:id="161" w:name="_Toc406578516"/>
      <w:bookmarkStart w:id="162" w:name="_Toc406578517"/>
      <w:bookmarkStart w:id="163" w:name="_Toc406578518"/>
      <w:bookmarkStart w:id="164" w:name="_Toc406578519"/>
      <w:bookmarkStart w:id="165" w:name="_Toc406578520"/>
      <w:bookmarkStart w:id="166" w:name="_Toc406578521"/>
      <w:bookmarkStart w:id="167" w:name="_Toc406578522"/>
      <w:bookmarkStart w:id="168" w:name="_Toc406578523"/>
      <w:bookmarkStart w:id="169" w:name="_Toc406578524"/>
      <w:bookmarkStart w:id="170" w:name="_Toc406578525"/>
      <w:bookmarkStart w:id="171" w:name="_Toc406578526"/>
      <w:bookmarkStart w:id="172" w:name="_Toc406578527"/>
      <w:bookmarkStart w:id="173" w:name="_Toc406578528"/>
      <w:bookmarkStart w:id="174" w:name="_Toc406578529"/>
      <w:bookmarkStart w:id="175" w:name="_Ref109130162"/>
      <w:bookmarkStart w:id="176" w:name="_Toc382570647"/>
      <w:bookmarkStart w:id="177" w:name="_Toc88553303"/>
      <w:bookmarkStart w:id="178" w:name="_Toc9511883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Style w:val="Odwoanieprzypisudolnego"/>
          <w:rFonts w:ascii="Arial" w:hAnsi="Arial"/>
        </w:rPr>
        <w:footnoteReference w:id="3"/>
      </w:r>
      <w:bookmarkEnd w:id="175"/>
    </w:p>
    <w:p w14:paraId="42D1E985" w14:textId="1F3327A2" w:rsidR="00115B39" w:rsidRPr="002245F9" w:rsidRDefault="00115B39" w:rsidP="00115B39">
      <w:pPr>
        <w:pStyle w:val="Default"/>
        <w:numPr>
          <w:ilvl w:val="0"/>
          <w:numId w:val="25"/>
        </w:numPr>
        <w:ind w:left="357" w:hanging="357"/>
        <w:rPr>
          <w:rFonts w:ascii="Arial" w:hAnsi="Arial" w:cs="Arial"/>
        </w:rPr>
      </w:pPr>
      <w:r>
        <w:rPr>
          <w:rFonts w:ascii="Arial" w:hAnsi="Arial" w:cs="Arial"/>
          <w:color w:val="auto"/>
          <w:kern w:val="32"/>
          <w:szCs w:val="32"/>
          <w:lang w:eastAsia="pl-PL"/>
        </w:rPr>
        <w:t>Wybór</w:t>
      </w:r>
      <w:r w:rsidR="00CC3257">
        <w:rPr>
          <w:rFonts w:ascii="Arial" w:hAnsi="Arial" w:cs="Arial"/>
          <w:color w:val="auto"/>
          <w:kern w:val="32"/>
          <w:szCs w:val="32"/>
          <w:lang w:eastAsia="pl-PL"/>
        </w:rPr>
        <w:t xml:space="preserve"> </w:t>
      </w:r>
      <w:r w:rsidR="00CC3257" w:rsidRPr="002245F9">
        <w:rPr>
          <w:rFonts w:ascii="Arial" w:hAnsi="Arial" w:cs="Arial"/>
          <w:color w:val="auto"/>
          <w:kern w:val="32"/>
          <w:szCs w:val="32"/>
          <w:lang w:eastAsia="pl-PL"/>
        </w:rPr>
        <w:t>projektów pomocy technicznej</w:t>
      </w:r>
      <w:r w:rsidR="00CC3257">
        <w:rPr>
          <w:rFonts w:ascii="Arial" w:hAnsi="Arial" w:cs="Arial"/>
          <w:color w:val="auto"/>
          <w:kern w:val="32"/>
          <w:szCs w:val="32"/>
          <w:lang w:eastAsia="pl-PL"/>
        </w:rPr>
        <w:t xml:space="preserve">, </w:t>
      </w:r>
      <w:r w:rsidR="00CC3257" w:rsidRPr="00CC3257">
        <w:rPr>
          <w:rFonts w:ascii="Arial" w:hAnsi="Arial" w:cs="Arial"/>
          <w:color w:val="auto"/>
          <w:kern w:val="32"/>
          <w:szCs w:val="32"/>
          <w:lang w:eastAsia="pl-PL"/>
        </w:rPr>
        <w:t>zawieranie umów/wydawanie decyzji</w:t>
      </w:r>
      <w:r>
        <w:rPr>
          <w:rFonts w:ascii="Arial" w:hAnsi="Arial" w:cs="Arial"/>
          <w:color w:val="auto"/>
          <w:kern w:val="32"/>
          <w:szCs w:val="32"/>
          <w:lang w:eastAsia="pl-PL"/>
        </w:rPr>
        <w:t xml:space="preserve"> </w:t>
      </w:r>
      <w:r w:rsidR="00CC3257">
        <w:rPr>
          <w:rFonts w:ascii="Arial" w:hAnsi="Arial" w:cs="Arial"/>
          <w:color w:val="auto"/>
          <w:kern w:val="32"/>
          <w:szCs w:val="32"/>
          <w:lang w:eastAsia="pl-PL"/>
        </w:rPr>
        <w:t>o</w:t>
      </w:r>
      <w:r w:rsidR="00980F78">
        <w:rPr>
          <w:rFonts w:ascii="Arial" w:hAnsi="Arial" w:cs="Arial"/>
          <w:color w:val="auto"/>
          <w:kern w:val="32"/>
          <w:szCs w:val="32"/>
          <w:lang w:eastAsia="pl-PL"/>
        </w:rPr>
        <w:t> </w:t>
      </w:r>
      <w:r w:rsidR="00CC3257">
        <w:rPr>
          <w:rFonts w:ascii="Arial" w:hAnsi="Arial" w:cs="Arial"/>
          <w:color w:val="auto"/>
          <w:kern w:val="32"/>
          <w:szCs w:val="32"/>
          <w:lang w:eastAsia="pl-PL"/>
        </w:rPr>
        <w:t>dofina</w:t>
      </w:r>
      <w:r w:rsidR="00A04235">
        <w:rPr>
          <w:rFonts w:ascii="Arial" w:hAnsi="Arial" w:cs="Arial"/>
          <w:color w:val="auto"/>
          <w:kern w:val="32"/>
          <w:szCs w:val="32"/>
          <w:lang w:eastAsia="pl-PL"/>
        </w:rPr>
        <w:t>n</w:t>
      </w:r>
      <w:r w:rsidR="00CC3257">
        <w:rPr>
          <w:rFonts w:ascii="Arial" w:hAnsi="Arial" w:cs="Arial"/>
          <w:color w:val="auto"/>
          <w:kern w:val="32"/>
          <w:szCs w:val="32"/>
          <w:lang w:eastAsia="pl-PL"/>
        </w:rPr>
        <w:t xml:space="preserve">sowaniu oraz </w:t>
      </w:r>
      <w:r>
        <w:rPr>
          <w:rFonts w:ascii="Arial" w:hAnsi="Arial" w:cs="Arial"/>
          <w:color w:val="auto"/>
          <w:kern w:val="32"/>
          <w:szCs w:val="32"/>
          <w:lang w:eastAsia="pl-PL"/>
        </w:rPr>
        <w:t>r</w:t>
      </w:r>
      <w:r w:rsidRPr="002245F9">
        <w:rPr>
          <w:rFonts w:ascii="Arial" w:hAnsi="Arial" w:cs="Arial"/>
          <w:color w:val="auto"/>
          <w:kern w:val="32"/>
          <w:szCs w:val="32"/>
          <w:lang w:eastAsia="pl-PL"/>
        </w:rPr>
        <w:t>ozliczanie projektów pomocy technicznej</w:t>
      </w:r>
      <w:r w:rsidRPr="002245F9" w:rsidDel="003B530B">
        <w:rPr>
          <w:rFonts w:ascii="Arial" w:hAnsi="Arial" w:cs="Arial"/>
          <w:color w:val="auto"/>
          <w:kern w:val="32"/>
          <w:szCs w:val="32"/>
          <w:lang w:eastAsia="pl-PL"/>
        </w:rPr>
        <w:t xml:space="preserve"> </w:t>
      </w:r>
      <w:bookmarkEnd w:id="176"/>
      <w:bookmarkEnd w:id="177"/>
      <w:bookmarkEnd w:id="178"/>
      <w:r w:rsidRPr="002245F9">
        <w:rPr>
          <w:rFonts w:ascii="Arial" w:hAnsi="Arial" w:cs="Arial"/>
        </w:rPr>
        <w:t xml:space="preserve">należy do zadań </w:t>
      </w:r>
      <w:bookmarkStart w:id="179" w:name="_Hlk99374790"/>
      <w:r w:rsidRPr="002245F9">
        <w:rPr>
          <w:rFonts w:ascii="Arial" w:hAnsi="Arial" w:cs="Arial"/>
        </w:rPr>
        <w:t>poszczególnych</w:t>
      </w:r>
      <w:bookmarkEnd w:id="179"/>
      <w:r w:rsidRPr="002245F9">
        <w:rPr>
          <w:rFonts w:ascii="Arial" w:hAnsi="Arial" w:cs="Arial"/>
        </w:rPr>
        <w:t xml:space="preserve"> IZ.</w:t>
      </w:r>
      <w:r>
        <w:rPr>
          <w:rFonts w:ascii="Arial" w:hAnsi="Arial" w:cs="Arial"/>
        </w:rPr>
        <w:fldChar w:fldCharType="begin"/>
      </w:r>
      <w:r>
        <w:rPr>
          <w:rFonts w:ascii="Arial" w:hAnsi="Arial" w:cs="Arial"/>
        </w:rPr>
        <w:instrText xml:space="preserve"> NOTEREF _Ref109130162 \f \h </w:instrText>
      </w:r>
      <w:r>
        <w:rPr>
          <w:rFonts w:ascii="Arial" w:hAnsi="Arial" w:cs="Arial"/>
        </w:rPr>
      </w:r>
      <w:r>
        <w:rPr>
          <w:rFonts w:ascii="Arial" w:hAnsi="Arial" w:cs="Arial"/>
        </w:rPr>
        <w:fldChar w:fldCharType="separate"/>
      </w:r>
      <w:r w:rsidR="001A694C" w:rsidRPr="007C47BC">
        <w:rPr>
          <w:rStyle w:val="Odwoanieprzypisudolnego"/>
        </w:rPr>
        <w:t>3</w:t>
      </w:r>
      <w:r>
        <w:rPr>
          <w:rFonts w:ascii="Arial" w:hAnsi="Arial" w:cs="Arial"/>
        </w:rPr>
        <w:fldChar w:fldCharType="end"/>
      </w:r>
    </w:p>
    <w:p w14:paraId="09F85BA0" w14:textId="0884343E" w:rsidR="00115B39" w:rsidRDefault="00115B39" w:rsidP="00115B39">
      <w:pPr>
        <w:pStyle w:val="Akapitzlist"/>
        <w:numPr>
          <w:ilvl w:val="0"/>
          <w:numId w:val="25"/>
        </w:numPr>
        <w:spacing w:before="120" w:after="120" w:line="360" w:lineRule="auto"/>
        <w:ind w:left="357" w:hanging="357"/>
        <w:contextualSpacing w:val="0"/>
        <w:rPr>
          <w:rFonts w:cs="Arial"/>
          <w:bCs/>
        </w:rPr>
      </w:pPr>
      <w:r>
        <w:rPr>
          <w:rFonts w:cs="Arial"/>
        </w:rPr>
        <w:t>P</w:t>
      </w:r>
      <w:r w:rsidRPr="002245F9">
        <w:rPr>
          <w:rFonts w:cs="Arial"/>
        </w:rPr>
        <w:t>rzygotowanie i złożenie wniosku o dofina</w:t>
      </w:r>
      <w:r w:rsidR="00A04235">
        <w:rPr>
          <w:rFonts w:cs="Arial"/>
        </w:rPr>
        <w:t>n</w:t>
      </w:r>
      <w:r w:rsidRPr="002245F9">
        <w:rPr>
          <w:rFonts w:cs="Arial"/>
        </w:rPr>
        <w:t xml:space="preserve">sowanie umożliwia </w:t>
      </w:r>
      <w:r w:rsidRPr="002245F9">
        <w:rPr>
          <w:rFonts w:cs="Arial"/>
          <w:bCs/>
        </w:rPr>
        <w:t>system teleinformatyczny CST2021</w:t>
      </w:r>
      <w:r w:rsidR="00980F78">
        <w:rPr>
          <w:rFonts w:cs="Arial"/>
          <w:bCs/>
        </w:rPr>
        <w:t>.</w:t>
      </w:r>
    </w:p>
    <w:p w14:paraId="17DFC778" w14:textId="6E19AFAE" w:rsidR="00115B39" w:rsidRPr="00DF4EE1" w:rsidRDefault="00980F78" w:rsidP="00115B39">
      <w:pPr>
        <w:pStyle w:val="Default"/>
        <w:numPr>
          <w:ilvl w:val="0"/>
          <w:numId w:val="25"/>
        </w:numPr>
        <w:ind w:left="357" w:hanging="357"/>
        <w:rPr>
          <w:rFonts w:ascii="Arial" w:hAnsi="Arial" w:cs="Arial"/>
        </w:rPr>
      </w:pPr>
      <w:r w:rsidRPr="00980F78">
        <w:rPr>
          <w:rFonts w:ascii="Arial" w:hAnsi="Arial" w:cs="Arial"/>
        </w:rPr>
        <w:t>IZ najpóźniej w dniu naboru informuje beneficjentów o trybie, warunkach i</w:t>
      </w:r>
      <w:r>
        <w:rPr>
          <w:rFonts w:ascii="Arial" w:hAnsi="Arial" w:cs="Arial"/>
        </w:rPr>
        <w:t> </w:t>
      </w:r>
      <w:r w:rsidRPr="00980F78">
        <w:rPr>
          <w:rFonts w:ascii="Arial" w:hAnsi="Arial" w:cs="Arial"/>
        </w:rPr>
        <w:t>metodach rozliczania</w:t>
      </w:r>
      <w:r>
        <w:rPr>
          <w:rFonts w:ascii="Arial" w:hAnsi="Arial" w:cs="Arial"/>
        </w:rPr>
        <w:t>.</w:t>
      </w:r>
    </w:p>
    <w:p w14:paraId="7EF3FEDD" w14:textId="77777777" w:rsidR="00115B39" w:rsidRPr="002245F9" w:rsidRDefault="00115B39" w:rsidP="00115B39">
      <w:pPr>
        <w:pStyle w:val="Default"/>
        <w:numPr>
          <w:ilvl w:val="0"/>
          <w:numId w:val="25"/>
        </w:numPr>
        <w:ind w:left="357" w:hanging="357"/>
        <w:contextualSpacing/>
        <w:rPr>
          <w:rFonts w:ascii="Arial" w:hAnsi="Arial" w:cs="Arial"/>
        </w:rPr>
      </w:pPr>
      <w:r w:rsidRPr="002245F9">
        <w:rPr>
          <w:rFonts w:ascii="Arial" w:hAnsi="Arial" w:cs="Arial"/>
        </w:rPr>
        <w:t>Rozliczanie wydatków beneficjentów pomocy technicznej może przyjąć formę:</w:t>
      </w:r>
    </w:p>
    <w:p w14:paraId="71854DEE" w14:textId="77777777" w:rsidR="00115B39" w:rsidRPr="002245F9" w:rsidRDefault="00115B39" w:rsidP="00115B39">
      <w:pPr>
        <w:pStyle w:val="Default"/>
        <w:numPr>
          <w:ilvl w:val="0"/>
          <w:numId w:val="26"/>
        </w:numPr>
        <w:ind w:left="714" w:hanging="357"/>
        <w:contextualSpacing/>
        <w:rPr>
          <w:rFonts w:ascii="Arial" w:hAnsi="Arial" w:cs="Arial"/>
        </w:rPr>
      </w:pPr>
      <w:r w:rsidRPr="002245F9">
        <w:rPr>
          <w:rFonts w:ascii="Arial" w:hAnsi="Arial" w:cs="Arial"/>
        </w:rPr>
        <w:t>bez przepływów finansowych pomiędzy właściwą instytucją a beneficjentem,</w:t>
      </w:r>
    </w:p>
    <w:p w14:paraId="220BA829" w14:textId="77777777" w:rsidR="00115B39" w:rsidRPr="002245F9" w:rsidRDefault="00115B39" w:rsidP="00115B39">
      <w:pPr>
        <w:pStyle w:val="Default"/>
        <w:numPr>
          <w:ilvl w:val="0"/>
          <w:numId w:val="26"/>
        </w:numPr>
        <w:ind w:left="714" w:hanging="357"/>
        <w:contextualSpacing/>
        <w:rPr>
          <w:rFonts w:ascii="Arial" w:hAnsi="Arial" w:cs="Arial"/>
        </w:rPr>
      </w:pPr>
      <w:r w:rsidRPr="002245F9">
        <w:rPr>
          <w:rFonts w:ascii="Arial" w:hAnsi="Arial" w:cs="Arial"/>
        </w:rPr>
        <w:lastRenderedPageBreak/>
        <w:t>z uwzględnieniem przepływów finansowych pomiędzy właściwą instytucją a beneficjentem.</w:t>
      </w:r>
    </w:p>
    <w:p w14:paraId="343EFABF" w14:textId="3D029353" w:rsidR="00115B39" w:rsidRPr="00637B73" w:rsidRDefault="00115B39" w:rsidP="00115B39">
      <w:pPr>
        <w:pStyle w:val="Default"/>
        <w:numPr>
          <w:ilvl w:val="0"/>
          <w:numId w:val="25"/>
        </w:numPr>
        <w:ind w:left="357" w:hanging="357"/>
        <w:rPr>
          <w:rFonts w:ascii="Arial" w:hAnsi="Arial" w:cs="Arial"/>
        </w:rPr>
      </w:pPr>
      <w:r w:rsidRPr="00637B73">
        <w:rPr>
          <w:rFonts w:ascii="Arial" w:hAnsi="Arial" w:cs="Arial"/>
        </w:rPr>
        <w:t>Bez uszczerbku dla art. 29 ustawy wdrożeniowej, wnioski o płatność wraz z niezbędnymi dokumentami określonymi w umowie</w:t>
      </w:r>
      <w:r w:rsidR="00FA3D40">
        <w:rPr>
          <w:rFonts w:ascii="Arial" w:hAnsi="Arial" w:cs="Arial"/>
        </w:rPr>
        <w:t xml:space="preserve">/ </w:t>
      </w:r>
      <w:r w:rsidRPr="00637B73">
        <w:rPr>
          <w:rFonts w:ascii="Arial" w:hAnsi="Arial" w:cs="Arial"/>
        </w:rPr>
        <w:t>decyzji o dofinansowaniu są składane przez beneficjenta za pośrednictwem systemu teleinformatycznego CST2021.</w:t>
      </w:r>
    </w:p>
    <w:p w14:paraId="6F2640A9" w14:textId="77777777" w:rsidR="00115B39" w:rsidRDefault="00115B39" w:rsidP="00115B39">
      <w:pPr>
        <w:pStyle w:val="Default"/>
        <w:numPr>
          <w:ilvl w:val="0"/>
          <w:numId w:val="25"/>
        </w:numPr>
        <w:ind w:left="357" w:hanging="357"/>
        <w:rPr>
          <w:rFonts w:ascii="Arial" w:hAnsi="Arial" w:cs="Arial"/>
        </w:rPr>
      </w:pPr>
      <w:r>
        <w:rPr>
          <w:rFonts w:ascii="Arial" w:hAnsi="Arial" w:cs="Arial"/>
        </w:rPr>
        <w:t>Wydatki są ponoszone zgodnie z kategoriami zdefiniowanymi w systemie CST2021:</w:t>
      </w:r>
    </w:p>
    <w:tbl>
      <w:tblPr>
        <w:tblW w:w="7427" w:type="dxa"/>
        <w:jc w:val="center"/>
        <w:tblBorders>
          <w:top w:val="single" w:sz="6" w:space="0" w:color="00A1E4"/>
          <w:left w:val="single" w:sz="6" w:space="0" w:color="00A1E4"/>
          <w:bottom w:val="single" w:sz="6" w:space="0" w:color="00A1E4"/>
          <w:right w:val="single" w:sz="6" w:space="0" w:color="00A1E4"/>
        </w:tblBorders>
        <w:tblCellMar>
          <w:left w:w="0" w:type="dxa"/>
          <w:right w:w="0" w:type="dxa"/>
        </w:tblCellMar>
        <w:tblLook w:val="04A0" w:firstRow="1" w:lastRow="0" w:firstColumn="1" w:lastColumn="0" w:noHBand="0" w:noVBand="1"/>
      </w:tblPr>
      <w:tblGrid>
        <w:gridCol w:w="5017"/>
        <w:gridCol w:w="2410"/>
      </w:tblGrid>
      <w:tr w:rsidR="00115B39" w:rsidRPr="006B0ECE" w14:paraId="547AB703"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shd w:val="clear" w:color="auto" w:fill="BFBFBF"/>
            <w:tcMar>
              <w:top w:w="75" w:type="dxa"/>
              <w:left w:w="30" w:type="dxa"/>
              <w:bottom w:w="75" w:type="dxa"/>
              <w:right w:w="30" w:type="dxa"/>
            </w:tcMar>
            <w:vAlign w:val="center"/>
          </w:tcPr>
          <w:p w14:paraId="298B73FB" w14:textId="77777777" w:rsidR="00115B39" w:rsidRPr="00AB6780" w:rsidRDefault="005753E1" w:rsidP="00D634BA">
            <w:pPr>
              <w:rPr>
                <w:rFonts w:cs="Arial"/>
                <w:b/>
                <w:color w:val="363636"/>
                <w:highlight w:val="lightGray"/>
              </w:rPr>
            </w:pPr>
            <w:hyperlink r:id="rId10" w:history="1">
              <w:r w:rsidR="00115B39" w:rsidRPr="00AB6780">
                <w:rPr>
                  <w:rStyle w:val="Hipercze"/>
                  <w:rFonts w:cs="Arial"/>
                  <w:b/>
                  <w:bCs/>
                  <w:color w:val="363636"/>
                  <w:highlight w:val="lightGray"/>
                  <w:shd w:val="clear" w:color="auto" w:fill="FFFFFF"/>
                </w:rPr>
                <w:t>Nazwa</w:t>
              </w:r>
            </w:hyperlink>
            <w:r w:rsidR="00115B39" w:rsidRPr="00AB6780">
              <w:rPr>
                <w:rFonts w:cs="Arial"/>
                <w:b/>
                <w:highlight w:val="lightGray"/>
              </w:rPr>
              <w:t>:</w:t>
            </w:r>
          </w:p>
        </w:tc>
        <w:tc>
          <w:tcPr>
            <w:tcW w:w="2410" w:type="dxa"/>
            <w:tcBorders>
              <w:top w:val="outset" w:sz="6" w:space="0" w:color="auto"/>
              <w:left w:val="outset" w:sz="6" w:space="0" w:color="auto"/>
              <w:bottom w:val="outset" w:sz="6" w:space="0" w:color="auto"/>
              <w:right w:val="outset" w:sz="6" w:space="0" w:color="auto"/>
            </w:tcBorders>
            <w:shd w:val="clear" w:color="auto" w:fill="BFBFBF"/>
            <w:tcMar>
              <w:top w:w="75" w:type="dxa"/>
              <w:left w:w="30" w:type="dxa"/>
              <w:bottom w:w="75" w:type="dxa"/>
              <w:right w:w="30" w:type="dxa"/>
            </w:tcMar>
            <w:vAlign w:val="center"/>
          </w:tcPr>
          <w:p w14:paraId="65ED1CE7" w14:textId="77777777" w:rsidR="00115B39" w:rsidRPr="00AB6780" w:rsidRDefault="005753E1" w:rsidP="00D634BA">
            <w:pPr>
              <w:rPr>
                <w:rFonts w:cs="Arial"/>
                <w:b/>
                <w:color w:val="363636"/>
                <w:highlight w:val="lightGray"/>
              </w:rPr>
            </w:pPr>
            <w:hyperlink r:id="rId11" w:history="1">
              <w:r w:rsidR="00115B39" w:rsidRPr="00AB6780">
                <w:rPr>
                  <w:rStyle w:val="Hipercze"/>
                  <w:rFonts w:cs="Arial"/>
                  <w:b/>
                  <w:bCs/>
                  <w:color w:val="363636"/>
                  <w:highlight w:val="lightGray"/>
                  <w:shd w:val="clear" w:color="auto" w:fill="FFFFFF"/>
                </w:rPr>
                <w:t>Kod interwencji:</w:t>
              </w:r>
            </w:hyperlink>
          </w:p>
        </w:tc>
      </w:tr>
      <w:tr w:rsidR="00115B39" w:rsidRPr="00E639CB" w14:paraId="2D048281"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02CBD9EA"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bCs/>
                <w:color w:val="000000"/>
                <w:kern w:val="24"/>
              </w:rPr>
              <w:t xml:space="preserve">PT - </w:t>
            </w:r>
            <w:r w:rsidRPr="00937BC1">
              <w:rPr>
                <w:rFonts w:ascii="Arial" w:hAnsi="Arial" w:cs="Arial"/>
                <w:bCs/>
                <w:color w:val="000000"/>
                <w:kern w:val="24"/>
              </w:rPr>
              <w:t>Informacja i promocja</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6173A818"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bCs/>
                <w:color w:val="000000"/>
                <w:kern w:val="24"/>
              </w:rPr>
              <w:t>177</w:t>
            </w:r>
          </w:p>
        </w:tc>
      </w:tr>
      <w:tr w:rsidR="00115B39" w:rsidRPr="00E639CB" w14:paraId="0AEA8A53"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210F5AEB"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Zatrudnienie</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651FAADB"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178</w:t>
            </w:r>
          </w:p>
        </w:tc>
      </w:tr>
      <w:tr w:rsidR="00115B39" w:rsidRPr="00E639CB" w14:paraId="1E5BFCDD"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62C941CE"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Wsparcie eksperckie i prawne</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5DEE69C1"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178</w:t>
            </w:r>
          </w:p>
        </w:tc>
      </w:tr>
      <w:tr w:rsidR="00115B39" w:rsidRPr="00E639CB" w14:paraId="68E252D3"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4A006567"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 xml:space="preserve">Kontrola </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0C3F0653"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178</w:t>
            </w:r>
          </w:p>
        </w:tc>
      </w:tr>
      <w:tr w:rsidR="00115B39" w:rsidRPr="00E639CB" w14:paraId="3AD69EFD"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4D905D17"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Koszty pośrednie</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36501F89"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178</w:t>
            </w:r>
          </w:p>
        </w:tc>
      </w:tr>
      <w:tr w:rsidR="00115B39" w:rsidRPr="00E639CB" w14:paraId="3230D371"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569E300B"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Ewaluacja</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0DA5F190"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179</w:t>
            </w:r>
          </w:p>
        </w:tc>
      </w:tr>
      <w:tr w:rsidR="00115B39" w:rsidRPr="00E639CB" w14:paraId="167F8FE6"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162C5D63"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Podn</w:t>
            </w:r>
            <w:r>
              <w:rPr>
                <w:rFonts w:ascii="Arial" w:hAnsi="Arial" w:cs="Arial"/>
                <w:color w:val="000000"/>
                <w:kern w:val="24"/>
              </w:rPr>
              <w:t>oszenie kwalifikacji</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3F074F72"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180</w:t>
            </w:r>
          </w:p>
        </w:tc>
      </w:tr>
      <w:tr w:rsidR="00115B39" w:rsidRPr="00E639CB" w14:paraId="1CF86D32"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36C028F9"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Wsparcie beneficjentów</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04F097B3"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180</w:t>
            </w:r>
          </w:p>
        </w:tc>
      </w:tr>
      <w:tr w:rsidR="00115B39" w:rsidRPr="00E639CB" w14:paraId="5F07CAC0"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tcPr>
          <w:p w14:paraId="0181CF5D"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PT - Posiedzenia</w:t>
            </w:r>
            <w:r w:rsidRPr="00937BC1">
              <w:rPr>
                <w:rFonts w:ascii="Arial" w:hAnsi="Arial" w:cs="Arial"/>
                <w:color w:val="000000"/>
                <w:kern w:val="24"/>
              </w:rPr>
              <w:t xml:space="preserve"> komitetów, sieci, grup</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tcPr>
          <w:p w14:paraId="6BFCDF1A"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180</w:t>
            </w:r>
          </w:p>
        </w:tc>
      </w:tr>
      <w:tr w:rsidR="00115B39" w:rsidRPr="00E639CB" w14:paraId="1A53291A" w14:textId="77777777" w:rsidTr="00D634BA">
        <w:trPr>
          <w:jc w:val="center"/>
        </w:trPr>
        <w:tc>
          <w:tcPr>
            <w:tcW w:w="5017"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48FA191E" w14:textId="77777777" w:rsidR="00115B39" w:rsidRPr="00AB6780" w:rsidRDefault="00115B39" w:rsidP="00D634BA">
            <w:pPr>
              <w:pStyle w:val="NormalnyWeb"/>
              <w:spacing w:before="0" w:beforeAutospacing="0" w:after="0" w:afterAutospacing="0"/>
              <w:rPr>
                <w:rFonts w:ascii="Arial" w:hAnsi="Arial" w:cs="Arial"/>
              </w:rPr>
            </w:pPr>
            <w:r>
              <w:rPr>
                <w:rFonts w:ascii="Arial" w:hAnsi="Arial" w:cs="Arial"/>
                <w:color w:val="000000"/>
                <w:kern w:val="24"/>
              </w:rPr>
              <w:t xml:space="preserve">PT - </w:t>
            </w:r>
            <w:r w:rsidRPr="00937BC1">
              <w:rPr>
                <w:rFonts w:ascii="Arial" w:hAnsi="Arial" w:cs="Arial"/>
                <w:color w:val="000000"/>
                <w:kern w:val="24"/>
              </w:rPr>
              <w:t>Wsparcie procesu wdrażania</w:t>
            </w:r>
          </w:p>
        </w:tc>
        <w:tc>
          <w:tcPr>
            <w:tcW w:w="2410" w:type="dxa"/>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p w14:paraId="3DA266EB" w14:textId="77777777" w:rsidR="00115B39" w:rsidRPr="00AB6780" w:rsidRDefault="00115B39" w:rsidP="00D634BA">
            <w:pPr>
              <w:pStyle w:val="NormalnyWeb"/>
              <w:spacing w:before="0" w:beforeAutospacing="0" w:after="0" w:afterAutospacing="0"/>
              <w:jc w:val="center"/>
              <w:rPr>
                <w:rFonts w:ascii="Arial" w:hAnsi="Arial" w:cs="Arial"/>
              </w:rPr>
            </w:pPr>
            <w:r w:rsidRPr="00937BC1">
              <w:rPr>
                <w:rFonts w:ascii="Arial" w:hAnsi="Arial" w:cs="Arial"/>
                <w:color w:val="000000"/>
                <w:kern w:val="24"/>
              </w:rPr>
              <w:t>178</w:t>
            </w:r>
          </w:p>
        </w:tc>
      </w:tr>
    </w:tbl>
    <w:p w14:paraId="035C9B39" w14:textId="751AA627" w:rsidR="00115B39" w:rsidRDefault="00115B39" w:rsidP="00115B39">
      <w:pPr>
        <w:pStyle w:val="Default"/>
        <w:numPr>
          <w:ilvl w:val="0"/>
          <w:numId w:val="25"/>
        </w:numPr>
        <w:spacing w:before="240"/>
        <w:ind w:left="357" w:hanging="357"/>
        <w:rPr>
          <w:rFonts w:ascii="Arial" w:hAnsi="Arial" w:cs="Arial"/>
        </w:rPr>
      </w:pPr>
      <w:r w:rsidRPr="002245F9">
        <w:rPr>
          <w:rFonts w:ascii="Arial" w:hAnsi="Arial" w:cs="Arial"/>
        </w:rPr>
        <w:t xml:space="preserve">Okres sprawozdawczy, za który składany jest wniosek o płatność jest </w:t>
      </w:r>
      <w:r w:rsidR="000335DE">
        <w:rPr>
          <w:rFonts w:ascii="Arial" w:hAnsi="Arial" w:cs="Arial"/>
        </w:rPr>
        <w:t xml:space="preserve">nie krótszy niż miesiąc i </w:t>
      </w:r>
      <w:r w:rsidRPr="002245F9">
        <w:rPr>
          <w:rFonts w:ascii="Arial" w:hAnsi="Arial" w:cs="Arial"/>
        </w:rPr>
        <w:t xml:space="preserve">nie dłuższy niż </w:t>
      </w:r>
      <w:r w:rsidR="000335DE">
        <w:rPr>
          <w:rFonts w:ascii="Arial" w:hAnsi="Arial" w:cs="Arial"/>
        </w:rPr>
        <w:t>kwartał, jeżeli w</w:t>
      </w:r>
      <w:r w:rsidR="003A6F58">
        <w:rPr>
          <w:rFonts w:ascii="Arial" w:hAnsi="Arial" w:cs="Arial"/>
        </w:rPr>
        <w:t> </w:t>
      </w:r>
      <w:r w:rsidR="000335DE">
        <w:rPr>
          <w:rFonts w:ascii="Arial" w:hAnsi="Arial" w:cs="Arial"/>
        </w:rPr>
        <w:t>danym okresie poniesiony został jakikolwiek wydatek</w:t>
      </w:r>
      <w:r>
        <w:rPr>
          <w:rFonts w:ascii="Arial" w:hAnsi="Arial" w:cs="Arial"/>
        </w:rPr>
        <w:t>, z zastrzeżeniem pkt 9</w:t>
      </w:r>
      <w:r w:rsidRPr="002245F9">
        <w:rPr>
          <w:rFonts w:ascii="Arial" w:hAnsi="Arial" w:cs="Arial"/>
        </w:rPr>
        <w:t>.</w:t>
      </w:r>
      <w:r w:rsidRPr="002245F9">
        <w:rPr>
          <w:rFonts w:ascii="Arial" w:hAnsi="Arial" w:cs="Arial"/>
          <w:lang w:eastAsia="pl-PL"/>
        </w:rPr>
        <w:t xml:space="preserve"> Wniosek za półrocze należy złożyć również w sytuacji nieponiesienia wydatków. </w:t>
      </w:r>
    </w:p>
    <w:p w14:paraId="12BB85D8" w14:textId="613FA3E4" w:rsidR="00115B39" w:rsidRPr="009F3072" w:rsidRDefault="009F3072" w:rsidP="009F3072">
      <w:pPr>
        <w:pStyle w:val="Default"/>
        <w:numPr>
          <w:ilvl w:val="0"/>
          <w:numId w:val="25"/>
        </w:numPr>
        <w:ind w:left="357" w:hanging="357"/>
        <w:rPr>
          <w:rFonts w:ascii="Arial" w:hAnsi="Arial" w:cs="Arial"/>
        </w:rPr>
      </w:pPr>
      <w:r>
        <w:rPr>
          <w:rFonts w:ascii="Arial" w:hAnsi="Arial" w:cs="Arial"/>
        </w:rPr>
        <w:t>Pierwszy w</w:t>
      </w:r>
      <w:r w:rsidRPr="009F3072">
        <w:rPr>
          <w:rFonts w:ascii="Arial" w:hAnsi="Arial" w:cs="Arial"/>
        </w:rPr>
        <w:t>nios</w:t>
      </w:r>
      <w:r>
        <w:rPr>
          <w:rFonts w:ascii="Arial" w:hAnsi="Arial" w:cs="Arial"/>
        </w:rPr>
        <w:t>ek</w:t>
      </w:r>
      <w:r w:rsidRPr="009F3072">
        <w:rPr>
          <w:rFonts w:ascii="Arial" w:hAnsi="Arial" w:cs="Arial"/>
        </w:rPr>
        <w:t xml:space="preserve"> </w:t>
      </w:r>
      <w:r w:rsidR="00115B39" w:rsidRPr="009F3072">
        <w:rPr>
          <w:rFonts w:ascii="Arial" w:hAnsi="Arial" w:cs="Arial"/>
        </w:rPr>
        <w:t>o płatność w ramach umów</w:t>
      </w:r>
      <w:r w:rsidR="00474D35">
        <w:rPr>
          <w:rFonts w:ascii="Arial" w:hAnsi="Arial" w:cs="Arial"/>
        </w:rPr>
        <w:t>/ decyzji o dofina</w:t>
      </w:r>
      <w:r w:rsidR="008E15D6">
        <w:rPr>
          <w:rFonts w:ascii="Arial" w:hAnsi="Arial" w:cs="Arial"/>
        </w:rPr>
        <w:t>n</w:t>
      </w:r>
      <w:r w:rsidR="00474D35">
        <w:rPr>
          <w:rFonts w:ascii="Arial" w:hAnsi="Arial" w:cs="Arial"/>
        </w:rPr>
        <w:t>sowaniu</w:t>
      </w:r>
      <w:r w:rsidRPr="009F3072">
        <w:rPr>
          <w:rFonts w:ascii="Arial" w:hAnsi="Arial" w:cs="Arial"/>
        </w:rPr>
        <w:t xml:space="preserve"> zawart</w:t>
      </w:r>
      <w:r w:rsidR="00474D35">
        <w:rPr>
          <w:rFonts w:ascii="Arial" w:hAnsi="Arial" w:cs="Arial"/>
        </w:rPr>
        <w:t>ych/ podjętych</w:t>
      </w:r>
      <w:r w:rsidRPr="009F3072">
        <w:rPr>
          <w:rFonts w:ascii="Arial" w:hAnsi="Arial" w:cs="Arial"/>
        </w:rPr>
        <w:t xml:space="preserve"> </w:t>
      </w:r>
      <w:r w:rsidR="00115B39" w:rsidRPr="009F3072">
        <w:rPr>
          <w:rFonts w:ascii="Arial" w:hAnsi="Arial" w:cs="Arial"/>
        </w:rPr>
        <w:t xml:space="preserve">po rozpoczęciu okresu </w:t>
      </w:r>
      <w:r>
        <w:rPr>
          <w:rFonts w:ascii="Arial" w:hAnsi="Arial" w:cs="Arial"/>
        </w:rPr>
        <w:t>kwalifikowania wydatków w</w:t>
      </w:r>
      <w:r w:rsidRPr="009F3072">
        <w:rPr>
          <w:rFonts w:ascii="Arial" w:hAnsi="Arial" w:cs="Arial"/>
        </w:rPr>
        <w:t xml:space="preserve"> projek</w:t>
      </w:r>
      <w:r>
        <w:rPr>
          <w:rFonts w:ascii="Arial" w:hAnsi="Arial" w:cs="Arial"/>
        </w:rPr>
        <w:t>cie</w:t>
      </w:r>
      <w:r w:rsidRPr="009F3072">
        <w:rPr>
          <w:rFonts w:ascii="Arial" w:hAnsi="Arial" w:cs="Arial"/>
        </w:rPr>
        <w:t xml:space="preserve"> mo</w:t>
      </w:r>
      <w:r>
        <w:rPr>
          <w:rFonts w:ascii="Arial" w:hAnsi="Arial" w:cs="Arial"/>
        </w:rPr>
        <w:t>że</w:t>
      </w:r>
      <w:r w:rsidRPr="009F3072">
        <w:rPr>
          <w:rFonts w:ascii="Arial" w:hAnsi="Arial" w:cs="Arial"/>
        </w:rPr>
        <w:t xml:space="preserve"> </w:t>
      </w:r>
      <w:r w:rsidR="00115B39" w:rsidRPr="009F3072">
        <w:rPr>
          <w:rFonts w:ascii="Arial" w:hAnsi="Arial" w:cs="Arial"/>
        </w:rPr>
        <w:t xml:space="preserve">obejmować okres nie </w:t>
      </w:r>
      <w:r>
        <w:rPr>
          <w:rFonts w:ascii="Arial" w:hAnsi="Arial" w:cs="Arial"/>
        </w:rPr>
        <w:t>krótszy</w:t>
      </w:r>
      <w:r w:rsidRPr="009F3072">
        <w:rPr>
          <w:rFonts w:ascii="Arial" w:hAnsi="Arial" w:cs="Arial"/>
        </w:rPr>
        <w:t xml:space="preserve"> </w:t>
      </w:r>
      <w:r w:rsidR="00115B39" w:rsidRPr="009F3072">
        <w:rPr>
          <w:rFonts w:ascii="Arial" w:hAnsi="Arial" w:cs="Arial"/>
        </w:rPr>
        <w:t xml:space="preserve">niż </w:t>
      </w:r>
      <w:r>
        <w:rPr>
          <w:rFonts w:ascii="Arial" w:hAnsi="Arial" w:cs="Arial"/>
        </w:rPr>
        <w:t>miesiąc</w:t>
      </w:r>
      <w:r w:rsidRPr="009F3072">
        <w:rPr>
          <w:rFonts w:ascii="Arial" w:hAnsi="Arial" w:cs="Arial"/>
        </w:rPr>
        <w:t xml:space="preserve"> </w:t>
      </w:r>
      <w:r w:rsidR="00115B39" w:rsidRPr="009F3072">
        <w:rPr>
          <w:rFonts w:ascii="Arial" w:hAnsi="Arial" w:cs="Arial"/>
        </w:rPr>
        <w:t>i nie dłuższy niż do końca roku kalendarzowego niezależnie od poniesienia wydatków (np. na początku perspektywy finansowej).</w:t>
      </w:r>
    </w:p>
    <w:p w14:paraId="3F0A626C" w14:textId="723CFC66" w:rsidR="00115B39" w:rsidRPr="002245F9" w:rsidRDefault="00115B39" w:rsidP="00115B39">
      <w:pPr>
        <w:pStyle w:val="Default"/>
        <w:numPr>
          <w:ilvl w:val="0"/>
          <w:numId w:val="25"/>
        </w:numPr>
        <w:ind w:left="357" w:hanging="357"/>
        <w:rPr>
          <w:rFonts w:ascii="Arial" w:hAnsi="Arial" w:cs="Arial"/>
        </w:rPr>
      </w:pPr>
      <w:r w:rsidRPr="002245F9">
        <w:rPr>
          <w:rFonts w:ascii="Arial" w:hAnsi="Arial" w:cs="Arial"/>
        </w:rPr>
        <w:t xml:space="preserve">Wniosek o płatność jest składany w terminie nie dłuższym niż </w:t>
      </w:r>
      <w:r w:rsidRPr="00774BC2">
        <w:rPr>
          <w:rFonts w:ascii="Arial" w:hAnsi="Arial" w:cs="Arial"/>
        </w:rPr>
        <w:t xml:space="preserve">30 dni </w:t>
      </w:r>
      <w:r w:rsidRPr="002245F9">
        <w:rPr>
          <w:rFonts w:ascii="Arial" w:hAnsi="Arial" w:cs="Arial"/>
        </w:rPr>
        <w:t>po zakończeniu okresu</w:t>
      </w:r>
      <w:r w:rsidR="00474D35">
        <w:rPr>
          <w:rFonts w:ascii="Arial" w:hAnsi="Arial" w:cs="Arial"/>
        </w:rPr>
        <w:t xml:space="preserve"> sprawozdawczego</w:t>
      </w:r>
      <w:r w:rsidRPr="002245F9">
        <w:rPr>
          <w:rFonts w:ascii="Arial" w:hAnsi="Arial" w:cs="Arial"/>
        </w:rPr>
        <w:t xml:space="preserve">, za który wniosek jest składany, np. </w:t>
      </w:r>
      <w:r w:rsidRPr="002245F9">
        <w:rPr>
          <w:rFonts w:ascii="Arial" w:hAnsi="Arial" w:cs="Arial"/>
        </w:rPr>
        <w:lastRenderedPageBreak/>
        <w:t>wniosek za I kwartał 2022 r. powinien zostać złożony do 30 kwietnia 2022 r, z</w:t>
      </w:r>
      <w:r>
        <w:rPr>
          <w:rFonts w:ascii="Arial" w:hAnsi="Arial" w:cs="Arial"/>
        </w:rPr>
        <w:t> </w:t>
      </w:r>
      <w:r w:rsidRPr="002245F9">
        <w:rPr>
          <w:rFonts w:ascii="Arial" w:hAnsi="Arial" w:cs="Arial"/>
        </w:rPr>
        <w:t xml:space="preserve">zastrzeżeniem pkt </w:t>
      </w:r>
      <w:r>
        <w:rPr>
          <w:rFonts w:ascii="Arial" w:hAnsi="Arial" w:cs="Arial"/>
        </w:rPr>
        <w:t>11</w:t>
      </w:r>
      <w:r w:rsidR="00FA3D40">
        <w:rPr>
          <w:rFonts w:ascii="Arial" w:hAnsi="Arial" w:cs="Arial"/>
        </w:rPr>
        <w:t>-</w:t>
      </w:r>
      <w:r w:rsidRPr="002245F9">
        <w:rPr>
          <w:rFonts w:ascii="Arial" w:hAnsi="Arial" w:cs="Arial"/>
        </w:rPr>
        <w:t>1</w:t>
      </w:r>
      <w:r>
        <w:rPr>
          <w:rFonts w:ascii="Arial" w:hAnsi="Arial" w:cs="Arial"/>
        </w:rPr>
        <w:t>3</w:t>
      </w:r>
      <w:r w:rsidRPr="002245F9">
        <w:rPr>
          <w:rFonts w:ascii="Arial" w:hAnsi="Arial" w:cs="Arial"/>
        </w:rPr>
        <w:t>.</w:t>
      </w:r>
    </w:p>
    <w:p w14:paraId="0C6E907F" w14:textId="77777777" w:rsidR="00115B39" w:rsidRPr="002245F9" w:rsidRDefault="00115B39" w:rsidP="00115B39">
      <w:pPr>
        <w:pStyle w:val="Default"/>
        <w:numPr>
          <w:ilvl w:val="0"/>
          <w:numId w:val="25"/>
        </w:numPr>
        <w:ind w:left="357" w:hanging="357"/>
        <w:rPr>
          <w:rFonts w:ascii="Arial" w:hAnsi="Arial" w:cs="Arial"/>
        </w:rPr>
      </w:pPr>
      <w:r w:rsidRPr="002245F9">
        <w:rPr>
          <w:rFonts w:ascii="Arial" w:hAnsi="Arial" w:cs="Arial"/>
        </w:rPr>
        <w:t>W przypadku rozliczania wynagrodzeń możliwe jest wykazanie we wniosku o</w:t>
      </w:r>
      <w:r>
        <w:rPr>
          <w:rFonts w:ascii="Arial" w:hAnsi="Arial" w:cs="Arial"/>
        </w:rPr>
        <w:t> </w:t>
      </w:r>
      <w:r w:rsidRPr="002245F9">
        <w:rPr>
          <w:rFonts w:ascii="Arial" w:hAnsi="Arial" w:cs="Arial"/>
        </w:rPr>
        <w:t>płatność wszystkich pochodnych (składki ZUS, podatek), naliczonych od wynagrodzeń wypłaconych w okresie sprawozdawczym, wówczas termin, o</w:t>
      </w:r>
      <w:r>
        <w:rPr>
          <w:rFonts w:ascii="Arial" w:hAnsi="Arial" w:cs="Arial"/>
        </w:rPr>
        <w:t> </w:t>
      </w:r>
      <w:r w:rsidRPr="002245F9">
        <w:rPr>
          <w:rFonts w:ascii="Arial" w:hAnsi="Arial" w:cs="Arial"/>
        </w:rPr>
        <w:t xml:space="preserve">którym mowa w pkt </w:t>
      </w:r>
      <w:r>
        <w:rPr>
          <w:rFonts w:ascii="Arial" w:hAnsi="Arial" w:cs="Arial"/>
        </w:rPr>
        <w:t>10</w:t>
      </w:r>
      <w:r w:rsidRPr="002245F9">
        <w:rPr>
          <w:rFonts w:ascii="Arial" w:hAnsi="Arial" w:cs="Arial"/>
        </w:rPr>
        <w:t xml:space="preserve"> liczony jest od dnia zapłaty ostatnich pochodnych, np. wniosek o płatność za I kwartał 2022 r.</w:t>
      </w:r>
      <w:r>
        <w:rPr>
          <w:rFonts w:ascii="Arial" w:hAnsi="Arial" w:cs="Arial"/>
        </w:rPr>
        <w:t xml:space="preserve">, gdzie </w:t>
      </w:r>
      <w:r w:rsidRPr="002245F9">
        <w:rPr>
          <w:rFonts w:ascii="Arial" w:hAnsi="Arial" w:cs="Arial"/>
        </w:rPr>
        <w:t>ostatnie pochodne za marzec zostały zapłacone 20 kwietnia 2022 r.</w:t>
      </w:r>
      <w:r>
        <w:rPr>
          <w:rFonts w:ascii="Arial" w:hAnsi="Arial" w:cs="Arial"/>
        </w:rPr>
        <w:t>,</w:t>
      </w:r>
      <w:r w:rsidRPr="002245F9">
        <w:rPr>
          <w:rFonts w:ascii="Arial" w:hAnsi="Arial" w:cs="Arial"/>
        </w:rPr>
        <w:t xml:space="preserve"> może zostać złożony do 20 maja 2022 r.</w:t>
      </w:r>
      <w:r w:rsidRPr="008F131B">
        <w:rPr>
          <w:rStyle w:val="Odwoanieprzypisudolnego"/>
          <w:rFonts w:ascii="Arial" w:hAnsi="Arial"/>
        </w:rPr>
        <w:t xml:space="preserve"> </w:t>
      </w:r>
      <w:bookmarkStart w:id="180" w:name="_Ref109130436"/>
      <w:r w:rsidRPr="002245F9">
        <w:rPr>
          <w:rStyle w:val="Odwoanieprzypisudolnego"/>
          <w:rFonts w:ascii="Arial" w:hAnsi="Arial"/>
        </w:rPr>
        <w:footnoteReference w:id="4"/>
      </w:r>
      <w:bookmarkEnd w:id="180"/>
    </w:p>
    <w:p w14:paraId="08AA01A7" w14:textId="28ABD303" w:rsidR="00115B39" w:rsidRPr="002245F9" w:rsidRDefault="00CD5B0B" w:rsidP="00115B39">
      <w:pPr>
        <w:pStyle w:val="Default"/>
        <w:numPr>
          <w:ilvl w:val="0"/>
          <w:numId w:val="25"/>
        </w:numPr>
        <w:ind w:left="357" w:hanging="357"/>
        <w:rPr>
          <w:rFonts w:ascii="Arial" w:hAnsi="Arial" w:cs="Arial"/>
        </w:rPr>
      </w:pPr>
      <w:r w:rsidRPr="00E75445">
        <w:t>W przypadku, gdy data początkowa okresu kwalifikowania wydatków określona w</w:t>
      </w:r>
      <w:r>
        <w:t> </w:t>
      </w:r>
      <w:r w:rsidRPr="00E75445">
        <w:t>umowie/</w:t>
      </w:r>
      <w:r>
        <w:t xml:space="preserve"> </w:t>
      </w:r>
      <w:r w:rsidRPr="00E75445">
        <w:t>decyzji o dofina</w:t>
      </w:r>
      <w:r w:rsidR="008E15D6">
        <w:t>n</w:t>
      </w:r>
      <w:r w:rsidRPr="00E75445">
        <w:t>sowaniu projektu jest wcześniejsza niż data zawarcia tej umowy</w:t>
      </w:r>
      <w:r>
        <w:t xml:space="preserve">/ </w:t>
      </w:r>
      <w:r w:rsidRPr="003A6F58">
        <w:t>decyzji</w:t>
      </w:r>
      <w:r w:rsidR="00115B39" w:rsidRPr="003A6F58">
        <w:rPr>
          <w:rFonts w:ascii="Arial" w:hAnsi="Arial" w:cs="Arial"/>
        </w:rPr>
        <w:t>, wniosek o płatność</w:t>
      </w:r>
      <w:r>
        <w:rPr>
          <w:rFonts w:ascii="Arial" w:hAnsi="Arial" w:cs="Arial"/>
        </w:rPr>
        <w:t>, o którym mowa w pkt 9,</w:t>
      </w:r>
      <w:r w:rsidR="00115B39" w:rsidRPr="002245F9">
        <w:rPr>
          <w:rFonts w:ascii="Arial" w:hAnsi="Arial" w:cs="Arial"/>
        </w:rPr>
        <w:t xml:space="preserve"> należy złożyć w terminie nie dłuższym niż </w:t>
      </w:r>
      <w:r w:rsidR="00115B39" w:rsidRPr="00774BC2">
        <w:rPr>
          <w:rFonts w:ascii="Arial" w:hAnsi="Arial" w:cs="Arial"/>
        </w:rPr>
        <w:t xml:space="preserve">30 dni </w:t>
      </w:r>
      <w:r w:rsidR="00115B39" w:rsidRPr="002245F9">
        <w:rPr>
          <w:rFonts w:ascii="Arial" w:hAnsi="Arial" w:cs="Arial"/>
        </w:rPr>
        <w:t>od dnia podjęcia decyzji lub podpisania umowy.</w:t>
      </w:r>
      <w:r w:rsidR="003A6F58" w:rsidRPr="002245F9">
        <w:rPr>
          <w:rFonts w:ascii="Arial" w:hAnsi="Arial" w:cs="Arial"/>
        </w:rPr>
        <w:t xml:space="preserve"> </w:t>
      </w:r>
    </w:p>
    <w:p w14:paraId="7D0E08E7" w14:textId="4C662512" w:rsidR="00115B39" w:rsidRPr="002245F9" w:rsidRDefault="00115B39" w:rsidP="00115B39">
      <w:pPr>
        <w:pStyle w:val="Default"/>
        <w:numPr>
          <w:ilvl w:val="0"/>
          <w:numId w:val="25"/>
        </w:numPr>
        <w:ind w:left="357" w:hanging="357"/>
        <w:rPr>
          <w:rFonts w:ascii="Arial" w:hAnsi="Arial" w:cs="Arial"/>
        </w:rPr>
      </w:pPr>
      <w:r w:rsidRPr="002245F9">
        <w:rPr>
          <w:rFonts w:ascii="Arial" w:hAnsi="Arial" w:cs="Arial"/>
        </w:rPr>
        <w:t xml:space="preserve">W odniesieniu do wniosku o płatność końcową, </w:t>
      </w:r>
      <w:r w:rsidRPr="007F18B6">
        <w:rPr>
          <w:rFonts w:ascii="Arial" w:hAnsi="Arial" w:cs="Arial"/>
        </w:rPr>
        <w:t>właściwa instytucja</w:t>
      </w:r>
      <w:r w:rsidRPr="002245F9">
        <w:rPr>
          <w:rFonts w:ascii="Arial" w:hAnsi="Arial" w:cs="Arial"/>
        </w:rPr>
        <w:t xml:space="preserve"> może ustanowić dłuższy termin na złożenie tego wniosku</w:t>
      </w:r>
      <w:r w:rsidR="00841A39">
        <w:rPr>
          <w:rFonts w:ascii="Arial" w:hAnsi="Arial" w:cs="Arial"/>
        </w:rPr>
        <w:t xml:space="preserve"> niż wskazano w pkt 10</w:t>
      </w:r>
      <w:r w:rsidRPr="002245F9">
        <w:rPr>
          <w:rFonts w:ascii="Arial" w:hAnsi="Arial" w:cs="Arial"/>
        </w:rPr>
        <w:t xml:space="preserve">, lecz nie powinien on przekraczać 60 dni od </w:t>
      </w:r>
      <w:r w:rsidR="00841A39">
        <w:rPr>
          <w:rFonts w:ascii="Arial" w:hAnsi="Arial" w:cs="Arial"/>
        </w:rPr>
        <w:t xml:space="preserve">ostatniego </w:t>
      </w:r>
      <w:r w:rsidRPr="002245F9">
        <w:rPr>
          <w:rFonts w:ascii="Arial" w:hAnsi="Arial" w:cs="Arial"/>
        </w:rPr>
        <w:t>dnia okresu realizacji projektu.</w:t>
      </w:r>
      <w:r w:rsidR="00944F36">
        <w:rPr>
          <w:rFonts w:ascii="Arial" w:hAnsi="Arial" w:cs="Arial"/>
        </w:rPr>
        <w:fldChar w:fldCharType="begin"/>
      </w:r>
      <w:r w:rsidR="00944F36">
        <w:rPr>
          <w:rFonts w:ascii="Arial" w:hAnsi="Arial" w:cs="Arial"/>
        </w:rPr>
        <w:instrText xml:space="preserve"> NOTEREF _Ref109130436 \f \h </w:instrText>
      </w:r>
      <w:r w:rsidR="00944F36">
        <w:rPr>
          <w:rFonts w:ascii="Arial" w:hAnsi="Arial" w:cs="Arial"/>
        </w:rPr>
      </w:r>
      <w:r w:rsidR="00944F36">
        <w:rPr>
          <w:rFonts w:ascii="Arial" w:hAnsi="Arial" w:cs="Arial"/>
        </w:rPr>
        <w:fldChar w:fldCharType="separate"/>
      </w:r>
      <w:r w:rsidR="00944F36" w:rsidRPr="000335DE">
        <w:rPr>
          <w:rStyle w:val="Odwoanieprzypisudolnego"/>
        </w:rPr>
        <w:t>4</w:t>
      </w:r>
      <w:r w:rsidR="00944F36">
        <w:rPr>
          <w:rFonts w:ascii="Arial" w:hAnsi="Arial" w:cs="Arial"/>
        </w:rPr>
        <w:fldChar w:fldCharType="end"/>
      </w:r>
      <w:r w:rsidR="00944F36" w:rsidDel="00944F36">
        <w:rPr>
          <w:rFonts w:ascii="Arial" w:hAnsi="Arial" w:cs="Arial"/>
        </w:rPr>
        <w:t xml:space="preserve"> </w:t>
      </w:r>
    </w:p>
    <w:p w14:paraId="1E7890B0" w14:textId="77777777" w:rsidR="00115B39" w:rsidRPr="002245F9" w:rsidRDefault="00115B39" w:rsidP="00115B39">
      <w:pPr>
        <w:pStyle w:val="Default"/>
        <w:numPr>
          <w:ilvl w:val="0"/>
          <w:numId w:val="25"/>
        </w:numPr>
        <w:ind w:left="357" w:hanging="357"/>
        <w:rPr>
          <w:rFonts w:ascii="Arial" w:hAnsi="Arial" w:cs="Arial"/>
        </w:rPr>
      </w:pPr>
      <w:r w:rsidRPr="002245F9">
        <w:rPr>
          <w:rFonts w:ascii="Arial" w:hAnsi="Arial" w:cs="Arial"/>
        </w:rPr>
        <w:t>Termin na zatwierdzenie wniosku o płatność (lub przekazanie do beneficjenta informacji o konieczności złożenia wyjaśnień lub uzupełnienia) określony w procedurach właściwej instytucji, nie powinien przekraczać 30 dni</w:t>
      </w:r>
      <w:r>
        <w:rPr>
          <w:rFonts w:ascii="Arial" w:hAnsi="Arial" w:cs="Arial"/>
        </w:rPr>
        <w:t xml:space="preserve"> roboczych</w:t>
      </w:r>
      <w:r w:rsidRPr="002245F9">
        <w:rPr>
          <w:rStyle w:val="Odwoanieprzypisudolnego"/>
          <w:rFonts w:ascii="Arial" w:hAnsi="Arial" w:cs="Arial"/>
        </w:rPr>
        <w:footnoteReference w:id="5"/>
      </w:r>
      <w:r w:rsidRPr="002245F9">
        <w:rPr>
          <w:rStyle w:val="Odwoanieprzypisudolnego"/>
          <w:rFonts w:ascii="Arial" w:hAnsi="Arial" w:cs="Arial"/>
        </w:rPr>
        <w:t xml:space="preserve"> </w:t>
      </w:r>
      <w:r w:rsidRPr="002245F9">
        <w:rPr>
          <w:rFonts w:ascii="Arial" w:hAnsi="Arial" w:cs="Arial"/>
        </w:rPr>
        <w:t>od dnia złożenia wniosku o płatność (złożenia wyjaśnień lub uzupełnień) przez beneficjenta. W uzasadnionych przypadkach termin weryfikacji wniosku o</w:t>
      </w:r>
      <w:r>
        <w:rPr>
          <w:rFonts w:ascii="Arial" w:hAnsi="Arial" w:cs="Arial"/>
        </w:rPr>
        <w:t> </w:t>
      </w:r>
      <w:r w:rsidRPr="002245F9">
        <w:rPr>
          <w:rFonts w:ascii="Arial" w:hAnsi="Arial" w:cs="Arial"/>
        </w:rPr>
        <w:t>płatność może ulec wydłużeniu</w:t>
      </w:r>
      <w:r w:rsidRPr="002245F9">
        <w:rPr>
          <w:rStyle w:val="Odwoanieprzypisudolnego"/>
          <w:rFonts w:ascii="Arial" w:hAnsi="Arial" w:cs="Arial"/>
        </w:rPr>
        <w:footnoteReference w:id="6"/>
      </w:r>
      <w:r w:rsidRPr="002245F9">
        <w:rPr>
          <w:rFonts w:ascii="Arial" w:hAnsi="Arial" w:cs="Arial"/>
        </w:rPr>
        <w:t>.</w:t>
      </w:r>
    </w:p>
    <w:p w14:paraId="125372B4" w14:textId="77777777" w:rsidR="00115B39" w:rsidRPr="002245F9" w:rsidRDefault="00115B39" w:rsidP="00115B39">
      <w:pPr>
        <w:numPr>
          <w:ilvl w:val="0"/>
          <w:numId w:val="25"/>
        </w:numPr>
        <w:shd w:val="clear" w:color="auto" w:fill="FFFFFF"/>
        <w:spacing w:before="120" w:after="120" w:line="360" w:lineRule="auto"/>
        <w:ind w:left="357" w:hanging="357"/>
        <w:rPr>
          <w:rFonts w:cs="Arial"/>
        </w:rPr>
      </w:pPr>
      <w:r w:rsidRPr="002245F9">
        <w:rPr>
          <w:rFonts w:cs="Arial"/>
        </w:rPr>
        <w:t>Wydatki rozlicz</w:t>
      </w:r>
      <w:r>
        <w:rPr>
          <w:rFonts w:cs="Arial"/>
        </w:rPr>
        <w:t>a</w:t>
      </w:r>
      <w:r w:rsidRPr="002245F9">
        <w:rPr>
          <w:rFonts w:cs="Arial"/>
        </w:rPr>
        <w:t xml:space="preserve">ne metodą uproszczoną są traktowane jako wydatki poniesione. Beneficjent nie ma obowiązku gromadzenia faktur i innych dokumentów księgowych o równoważnej wartości dowodowej na potwierdzenie poniesienia wydatku. </w:t>
      </w:r>
    </w:p>
    <w:p w14:paraId="266410CD" w14:textId="44F47EA1" w:rsidR="00115B39" w:rsidRPr="0023756C" w:rsidRDefault="00396D03" w:rsidP="007C47BC">
      <w:pPr>
        <w:pStyle w:val="Nagwek1"/>
      </w:pPr>
      <w:bookmarkStart w:id="181" w:name="_Toc382825302"/>
      <w:bookmarkStart w:id="182" w:name="_Toc382825533"/>
      <w:bookmarkStart w:id="183" w:name="_Toc382825303"/>
      <w:bookmarkStart w:id="184" w:name="_Toc382825534"/>
      <w:bookmarkStart w:id="185" w:name="_Toc88553304"/>
      <w:bookmarkStart w:id="186" w:name="_Toc95118836"/>
      <w:bookmarkStart w:id="187" w:name="_Toc109128017"/>
      <w:bookmarkStart w:id="188" w:name="_Toc110601971"/>
      <w:bookmarkEnd w:id="181"/>
      <w:bookmarkEnd w:id="182"/>
      <w:bookmarkEnd w:id="183"/>
      <w:bookmarkEnd w:id="184"/>
      <w:r>
        <w:lastRenderedPageBreak/>
        <w:t xml:space="preserve">Rozdział 5. </w:t>
      </w:r>
      <w:r w:rsidR="00115B39" w:rsidRPr="0023756C">
        <w:t>Centralny System Teleinformatyczny</w:t>
      </w:r>
      <w:bookmarkEnd w:id="185"/>
      <w:bookmarkEnd w:id="186"/>
      <w:bookmarkEnd w:id="187"/>
      <w:bookmarkEnd w:id="188"/>
    </w:p>
    <w:p w14:paraId="67E53ECB" w14:textId="30C75ACC" w:rsidR="00115B39" w:rsidRPr="002245F9" w:rsidRDefault="00115B39" w:rsidP="00115B39">
      <w:pPr>
        <w:pStyle w:val="Default"/>
        <w:numPr>
          <w:ilvl w:val="0"/>
          <w:numId w:val="7"/>
        </w:numPr>
        <w:ind w:left="357" w:hanging="357"/>
        <w:rPr>
          <w:rFonts w:ascii="Arial" w:hAnsi="Arial" w:cs="Arial"/>
        </w:rPr>
      </w:pPr>
      <w:r w:rsidRPr="002245F9">
        <w:rPr>
          <w:rFonts w:ascii="Arial" w:hAnsi="Arial" w:cs="Arial"/>
        </w:rPr>
        <w:t xml:space="preserve">Obsługa projektów pomocy technicznej </w:t>
      </w:r>
      <w:r>
        <w:rPr>
          <w:rFonts w:ascii="Arial" w:hAnsi="Arial" w:cs="Arial"/>
        </w:rPr>
        <w:t xml:space="preserve">krajowych programów </w:t>
      </w:r>
      <w:r w:rsidRPr="002245F9">
        <w:rPr>
          <w:rFonts w:ascii="Arial" w:hAnsi="Arial" w:cs="Arial"/>
        </w:rPr>
        <w:t>odbywa się przy użyciu CST2021.</w:t>
      </w:r>
      <w:r w:rsidRPr="002245F9">
        <w:rPr>
          <w:rStyle w:val="Odwoanieprzypisudolnego"/>
          <w:rFonts w:ascii="Arial" w:hAnsi="Arial"/>
        </w:rPr>
        <w:footnoteReference w:id="7"/>
      </w:r>
    </w:p>
    <w:p w14:paraId="60A6E608" w14:textId="0A6F34DC" w:rsidR="00115B39" w:rsidRPr="002245F9" w:rsidRDefault="00115B39" w:rsidP="00115B39">
      <w:pPr>
        <w:pStyle w:val="Default"/>
        <w:numPr>
          <w:ilvl w:val="0"/>
          <w:numId w:val="7"/>
        </w:numPr>
        <w:spacing w:after="0"/>
        <w:ind w:left="357" w:hanging="357"/>
        <w:contextualSpacing/>
        <w:rPr>
          <w:rFonts w:ascii="Arial" w:hAnsi="Arial" w:cs="Arial"/>
          <w:color w:val="auto"/>
        </w:rPr>
      </w:pPr>
      <w:r w:rsidRPr="002245F9">
        <w:rPr>
          <w:rFonts w:ascii="Arial" w:hAnsi="Arial" w:cs="Arial"/>
          <w:color w:val="auto"/>
        </w:rPr>
        <w:t>CST2021 zapewnia obsługę procesów związanych</w:t>
      </w:r>
      <w:r>
        <w:rPr>
          <w:rFonts w:ascii="Arial" w:hAnsi="Arial" w:cs="Arial"/>
          <w:color w:val="auto"/>
        </w:rPr>
        <w:t> </w:t>
      </w:r>
      <w:r w:rsidRPr="002245F9">
        <w:rPr>
          <w:rFonts w:ascii="Arial" w:hAnsi="Arial" w:cs="Arial"/>
          <w:color w:val="auto"/>
        </w:rPr>
        <w:t>z:</w:t>
      </w:r>
    </w:p>
    <w:p w14:paraId="7DD3BD82" w14:textId="77777777" w:rsidR="00115B39" w:rsidRPr="002245F9" w:rsidRDefault="00115B39" w:rsidP="00115B39">
      <w:pPr>
        <w:pStyle w:val="PKTpunkt"/>
        <w:numPr>
          <w:ilvl w:val="1"/>
          <w:numId w:val="7"/>
        </w:numPr>
        <w:spacing w:before="0"/>
        <w:ind w:left="0" w:right="357" w:firstLine="357"/>
        <w:contextualSpacing/>
        <w:jc w:val="left"/>
        <w:rPr>
          <w:rFonts w:ascii="Arial" w:eastAsia="Calibri" w:hAnsi="Arial"/>
          <w:bCs w:val="0"/>
          <w:szCs w:val="24"/>
        </w:rPr>
      </w:pPr>
      <w:r w:rsidRPr="002245F9">
        <w:rPr>
          <w:rFonts w:ascii="Arial" w:eastAsia="Calibri" w:hAnsi="Arial"/>
          <w:bCs w:val="0"/>
          <w:szCs w:val="24"/>
        </w:rPr>
        <w:t>wyborem projektów do dofinansowania,</w:t>
      </w:r>
    </w:p>
    <w:p w14:paraId="3F1A270D" w14:textId="77777777" w:rsidR="00115B39" w:rsidRPr="002245F9" w:rsidRDefault="00115B39" w:rsidP="00115B39">
      <w:pPr>
        <w:pStyle w:val="PKTpunkt"/>
        <w:numPr>
          <w:ilvl w:val="1"/>
          <w:numId w:val="7"/>
        </w:numPr>
        <w:spacing w:before="0"/>
        <w:ind w:left="0" w:right="357" w:firstLine="357"/>
        <w:contextualSpacing/>
        <w:rPr>
          <w:rFonts w:ascii="Arial" w:eastAsia="Calibri" w:hAnsi="Arial"/>
          <w:bCs w:val="0"/>
          <w:szCs w:val="24"/>
        </w:rPr>
      </w:pPr>
      <w:r w:rsidRPr="002245F9">
        <w:rPr>
          <w:rFonts w:ascii="Arial" w:eastAsia="Calibri" w:hAnsi="Arial"/>
          <w:bCs w:val="0"/>
          <w:szCs w:val="24"/>
        </w:rPr>
        <w:t>podpisaniem umów o dofinansowanie,</w:t>
      </w:r>
    </w:p>
    <w:p w14:paraId="6958FD41" w14:textId="77777777" w:rsidR="00115B39" w:rsidRPr="002245F9" w:rsidRDefault="00115B39" w:rsidP="00115B39">
      <w:pPr>
        <w:pStyle w:val="PKTpunkt"/>
        <w:numPr>
          <w:ilvl w:val="1"/>
          <w:numId w:val="7"/>
        </w:numPr>
        <w:spacing w:before="0"/>
        <w:ind w:left="0" w:right="357" w:firstLine="357"/>
        <w:contextualSpacing/>
        <w:rPr>
          <w:rFonts w:ascii="Arial" w:eastAsia="Calibri" w:hAnsi="Arial"/>
          <w:bCs w:val="0"/>
          <w:szCs w:val="24"/>
        </w:rPr>
      </w:pPr>
      <w:r>
        <w:rPr>
          <w:rFonts w:ascii="Arial" w:eastAsia="Calibri" w:hAnsi="Arial"/>
          <w:bCs w:val="0"/>
          <w:szCs w:val="24"/>
        </w:rPr>
        <w:t xml:space="preserve"> </w:t>
      </w:r>
      <w:r w:rsidRPr="002245F9">
        <w:rPr>
          <w:rFonts w:ascii="Arial" w:eastAsia="Calibri" w:hAnsi="Arial"/>
          <w:bCs w:val="0"/>
          <w:szCs w:val="24"/>
        </w:rPr>
        <w:t>realizacją zasady konkurencyjności</w:t>
      </w:r>
      <w:r w:rsidRPr="002245F9">
        <w:rPr>
          <w:rFonts w:ascii="Arial" w:hAnsi="Arial"/>
          <w:szCs w:val="24"/>
        </w:rPr>
        <w:t>,</w:t>
      </w:r>
    </w:p>
    <w:p w14:paraId="15F89729" w14:textId="77777777" w:rsidR="00115B39" w:rsidRPr="002245F9" w:rsidRDefault="00115B39" w:rsidP="00115B39">
      <w:pPr>
        <w:pStyle w:val="PKTpunkt"/>
        <w:numPr>
          <w:ilvl w:val="1"/>
          <w:numId w:val="7"/>
        </w:numPr>
        <w:spacing w:before="0"/>
        <w:ind w:left="0" w:right="357" w:firstLine="357"/>
        <w:contextualSpacing/>
        <w:jc w:val="left"/>
        <w:rPr>
          <w:rFonts w:ascii="Arial" w:eastAsia="Calibri" w:hAnsi="Arial"/>
          <w:szCs w:val="24"/>
        </w:rPr>
      </w:pPr>
      <w:r w:rsidRPr="002245F9">
        <w:rPr>
          <w:rFonts w:ascii="Arial" w:eastAsia="Calibri" w:hAnsi="Arial"/>
          <w:bCs w:val="0"/>
          <w:szCs w:val="24"/>
        </w:rPr>
        <w:t>ewidencjonowaniem danych dotyczących realizacji programów,</w:t>
      </w:r>
    </w:p>
    <w:p w14:paraId="7CCBACA0" w14:textId="77777777" w:rsidR="00115B39" w:rsidRPr="00D319F9" w:rsidRDefault="00115B39" w:rsidP="00115B39">
      <w:pPr>
        <w:pStyle w:val="PKTpunkt"/>
        <w:numPr>
          <w:ilvl w:val="1"/>
          <w:numId w:val="7"/>
        </w:numPr>
        <w:ind w:left="0" w:right="357" w:firstLine="357"/>
        <w:jc w:val="left"/>
        <w:rPr>
          <w:rFonts w:ascii="Arial" w:eastAsia="Calibri" w:hAnsi="Arial"/>
          <w:szCs w:val="24"/>
        </w:rPr>
      </w:pPr>
      <w:r w:rsidRPr="002245F9">
        <w:rPr>
          <w:rFonts w:ascii="Arial" w:hAnsi="Arial"/>
          <w:szCs w:val="24"/>
        </w:rPr>
        <w:t>kontrolą i księgowaniem wydatków.</w:t>
      </w:r>
    </w:p>
    <w:p w14:paraId="2CAA60D3" w14:textId="34CFB3D8" w:rsidR="00115B39" w:rsidRPr="002245F9" w:rsidRDefault="00115B39" w:rsidP="00115B39">
      <w:pPr>
        <w:pStyle w:val="PKTpunkt"/>
        <w:numPr>
          <w:ilvl w:val="0"/>
          <w:numId w:val="7"/>
        </w:numPr>
        <w:tabs>
          <w:tab w:val="left" w:pos="851"/>
        </w:tabs>
        <w:ind w:left="357" w:hanging="357"/>
        <w:jc w:val="left"/>
        <w:rPr>
          <w:rFonts w:ascii="Arial" w:eastAsia="Calibri" w:hAnsi="Arial"/>
          <w:szCs w:val="24"/>
        </w:rPr>
      </w:pPr>
      <w:r>
        <w:rPr>
          <w:rFonts w:ascii="Arial" w:hAnsi="Arial"/>
          <w:szCs w:val="24"/>
        </w:rPr>
        <w:t>P</w:t>
      </w:r>
      <w:r w:rsidRPr="002245F9">
        <w:rPr>
          <w:rFonts w:ascii="Arial" w:hAnsi="Arial"/>
          <w:szCs w:val="24"/>
        </w:rPr>
        <w:t>rzygotowanie i złożenie wniosku o dofina</w:t>
      </w:r>
      <w:r w:rsidR="00A04235">
        <w:rPr>
          <w:rFonts w:ascii="Arial" w:hAnsi="Arial"/>
          <w:szCs w:val="24"/>
        </w:rPr>
        <w:t>n</w:t>
      </w:r>
      <w:r w:rsidRPr="002245F9">
        <w:rPr>
          <w:rFonts w:ascii="Arial" w:hAnsi="Arial"/>
          <w:szCs w:val="24"/>
        </w:rPr>
        <w:t xml:space="preserve">sowanie umożliwia aplikacja WOD2021 wchodząca w skład </w:t>
      </w:r>
      <w:r>
        <w:rPr>
          <w:rFonts w:ascii="Arial" w:hAnsi="Arial"/>
          <w:szCs w:val="24"/>
        </w:rPr>
        <w:t xml:space="preserve">systemu teleinformatycznego </w:t>
      </w:r>
      <w:r w:rsidRPr="002245F9">
        <w:rPr>
          <w:rFonts w:ascii="Arial" w:hAnsi="Arial"/>
          <w:szCs w:val="24"/>
        </w:rPr>
        <w:t>CST2021.</w:t>
      </w:r>
    </w:p>
    <w:p w14:paraId="1F514B4E" w14:textId="59F40046" w:rsidR="00115B39" w:rsidRPr="002245F9" w:rsidRDefault="00115B39" w:rsidP="00115B39">
      <w:pPr>
        <w:pStyle w:val="PKTpunkt"/>
        <w:numPr>
          <w:ilvl w:val="0"/>
          <w:numId w:val="7"/>
        </w:numPr>
        <w:tabs>
          <w:tab w:val="left" w:pos="851"/>
        </w:tabs>
        <w:ind w:left="357" w:hanging="357"/>
        <w:jc w:val="left"/>
        <w:rPr>
          <w:rFonts w:ascii="Arial" w:hAnsi="Arial"/>
        </w:rPr>
      </w:pPr>
      <w:r w:rsidRPr="002245F9">
        <w:rPr>
          <w:rFonts w:ascii="Arial" w:eastAsia="Calibri" w:hAnsi="Arial"/>
          <w:szCs w:val="24"/>
        </w:rPr>
        <w:t>Rozliczanie realizowanych projektów umożliwia aplikacja SL2021 wchodząca w</w:t>
      </w:r>
      <w:r>
        <w:rPr>
          <w:rFonts w:ascii="Arial" w:eastAsia="Calibri" w:hAnsi="Arial"/>
          <w:szCs w:val="24"/>
        </w:rPr>
        <w:t> </w:t>
      </w:r>
      <w:r w:rsidRPr="002245F9">
        <w:rPr>
          <w:rFonts w:ascii="Arial" w:eastAsia="Calibri" w:hAnsi="Arial"/>
          <w:szCs w:val="24"/>
        </w:rPr>
        <w:t xml:space="preserve">skład CST2021. </w:t>
      </w:r>
      <w:r w:rsidRPr="002245F9">
        <w:rPr>
          <w:rFonts w:ascii="Arial" w:hAnsi="Arial"/>
        </w:rPr>
        <w:t>W ramach procesów związanych z rozliczaniem projektów SL2021 zapewnia funkcjonowanie wystandaryzowanych formularzy, obsługę procesów i komunikację w zakresie przesyłania danych dotyczących wniosków o</w:t>
      </w:r>
      <w:r>
        <w:rPr>
          <w:rFonts w:ascii="Arial" w:hAnsi="Arial"/>
        </w:rPr>
        <w:t> </w:t>
      </w:r>
      <w:r w:rsidRPr="002245F9">
        <w:rPr>
          <w:rFonts w:ascii="Arial" w:hAnsi="Arial"/>
        </w:rPr>
        <w:t>płatność, zamówień publicznych oraz osób zatrudnionych do realizacji projektów.</w:t>
      </w:r>
    </w:p>
    <w:p w14:paraId="0CC2C236" w14:textId="77777777" w:rsidR="00115B39" w:rsidRPr="002245F9" w:rsidRDefault="00115B39" w:rsidP="00115B39">
      <w:pPr>
        <w:pStyle w:val="PKTpunkt"/>
        <w:numPr>
          <w:ilvl w:val="0"/>
          <w:numId w:val="7"/>
        </w:numPr>
        <w:ind w:left="357" w:hanging="357"/>
        <w:jc w:val="left"/>
        <w:rPr>
          <w:rFonts w:ascii="Arial" w:hAnsi="Arial"/>
          <w:szCs w:val="24"/>
        </w:rPr>
      </w:pPr>
      <w:r w:rsidRPr="002245F9">
        <w:rPr>
          <w:rFonts w:ascii="Arial" w:hAnsi="Arial"/>
        </w:rPr>
        <w:t xml:space="preserve">Załącznik 1 </w:t>
      </w:r>
      <w:r>
        <w:rPr>
          <w:rFonts w:ascii="Arial" w:hAnsi="Arial"/>
        </w:rPr>
        <w:t xml:space="preserve">do wytycznych </w:t>
      </w:r>
      <w:r w:rsidRPr="002245F9">
        <w:rPr>
          <w:rFonts w:ascii="Arial" w:hAnsi="Arial"/>
          <w:szCs w:val="24"/>
        </w:rPr>
        <w:t xml:space="preserve">określa wzór zestawienia, które w przypadku rozliczania wynagrodzeń </w:t>
      </w:r>
      <w:r w:rsidRPr="00027647">
        <w:rPr>
          <w:rFonts w:ascii="Arial" w:hAnsi="Arial"/>
          <w:szCs w:val="24"/>
        </w:rPr>
        <w:t>na podstawie kosztów rzeczywistych</w:t>
      </w:r>
      <w:r w:rsidRPr="002245F9">
        <w:rPr>
          <w:rFonts w:ascii="Arial" w:hAnsi="Arial"/>
          <w:szCs w:val="24"/>
        </w:rPr>
        <w:t xml:space="preserve"> beneficjent wypełnia i załącza do wniosku o płatność w </w:t>
      </w:r>
      <w:r w:rsidRPr="002245F9">
        <w:rPr>
          <w:rFonts w:ascii="Arial" w:eastAsia="Calibri" w:hAnsi="Arial"/>
          <w:szCs w:val="24"/>
        </w:rPr>
        <w:t>SL2021</w:t>
      </w:r>
      <w:r w:rsidRPr="002245F9">
        <w:rPr>
          <w:rFonts w:ascii="Arial" w:hAnsi="Arial"/>
          <w:szCs w:val="24"/>
        </w:rPr>
        <w:t>. Wzór zestawienia określa maksymalny zakres danych wymaganych przez instytucję na etapie składania wniosku o płatność. W</w:t>
      </w:r>
      <w:r>
        <w:rPr>
          <w:rFonts w:ascii="Arial" w:hAnsi="Arial"/>
          <w:szCs w:val="24"/>
        </w:rPr>
        <w:t> </w:t>
      </w:r>
      <w:r w:rsidRPr="002245F9">
        <w:rPr>
          <w:rFonts w:ascii="Arial" w:hAnsi="Arial"/>
          <w:szCs w:val="24"/>
        </w:rPr>
        <w:t xml:space="preserve">przypadku potrzeby uzyskania dodatkowych informacji instytucja może wezwać beneficjenta do ich </w:t>
      </w:r>
      <w:r w:rsidRPr="0028166C">
        <w:rPr>
          <w:rFonts w:ascii="Arial" w:hAnsi="Arial"/>
          <w:szCs w:val="24"/>
        </w:rPr>
        <w:t>przekazania w oparciu o posiadane</w:t>
      </w:r>
      <w:r w:rsidRPr="002245F9">
        <w:rPr>
          <w:rFonts w:ascii="Arial" w:hAnsi="Arial"/>
          <w:szCs w:val="24"/>
        </w:rPr>
        <w:t xml:space="preserve"> na poziomie programu narzędzia służące do weryfikacji wydatków we wniosku o płatność (np. pogłębiona weryfikacja na próbie wydatków). </w:t>
      </w:r>
    </w:p>
    <w:p w14:paraId="26A1410C" w14:textId="3CCDE959" w:rsidR="00115B39" w:rsidRPr="002245F9" w:rsidRDefault="00115B39" w:rsidP="00115B39">
      <w:pPr>
        <w:pStyle w:val="PKTpunkt"/>
        <w:numPr>
          <w:ilvl w:val="0"/>
          <w:numId w:val="7"/>
        </w:numPr>
        <w:ind w:left="357" w:hanging="357"/>
        <w:jc w:val="left"/>
        <w:rPr>
          <w:rFonts w:ascii="Arial" w:hAnsi="Arial"/>
          <w:szCs w:val="24"/>
        </w:rPr>
      </w:pPr>
      <w:r w:rsidRPr="002245F9">
        <w:rPr>
          <w:rFonts w:ascii="Arial" w:hAnsi="Arial"/>
        </w:rPr>
        <w:t xml:space="preserve">Realizację zasady konkurencyjności, o której mowa w </w:t>
      </w:r>
      <w:r>
        <w:rPr>
          <w:rFonts w:ascii="Arial" w:hAnsi="Arial"/>
        </w:rPr>
        <w:t xml:space="preserve">wytycznych </w:t>
      </w:r>
      <w:r w:rsidRPr="00A67D8F">
        <w:rPr>
          <w:rFonts w:ascii="Arial" w:hAnsi="Arial"/>
        </w:rPr>
        <w:t>dotycząc</w:t>
      </w:r>
      <w:r>
        <w:rPr>
          <w:rFonts w:ascii="Arial" w:hAnsi="Arial"/>
        </w:rPr>
        <w:t xml:space="preserve">ych </w:t>
      </w:r>
      <w:r w:rsidRPr="00A67D8F">
        <w:rPr>
          <w:rFonts w:ascii="Arial" w:hAnsi="Arial"/>
        </w:rPr>
        <w:t xml:space="preserve">kwalifikowalności </w:t>
      </w:r>
      <w:r w:rsidRPr="002245F9">
        <w:rPr>
          <w:rFonts w:ascii="Arial" w:hAnsi="Arial"/>
        </w:rPr>
        <w:t>wspiera aplikacja BK2021 wchodząca w skład CST2021.</w:t>
      </w:r>
    </w:p>
    <w:p w14:paraId="13494261" w14:textId="70DC3561" w:rsidR="00115B39" w:rsidRPr="002245F9" w:rsidRDefault="00115B39" w:rsidP="00115B39">
      <w:pPr>
        <w:pStyle w:val="Default"/>
        <w:numPr>
          <w:ilvl w:val="0"/>
          <w:numId w:val="7"/>
        </w:numPr>
        <w:ind w:left="357" w:hanging="357"/>
        <w:rPr>
          <w:rFonts w:ascii="Arial" w:hAnsi="Arial" w:cs="Arial"/>
          <w:color w:val="auto"/>
        </w:rPr>
      </w:pPr>
      <w:r w:rsidRPr="002245F9">
        <w:rPr>
          <w:rFonts w:ascii="Arial" w:hAnsi="Arial" w:cs="Arial"/>
          <w:color w:val="auto"/>
        </w:rPr>
        <w:lastRenderedPageBreak/>
        <w:t>W przypadku, gdy z powodów technicznych obsługa powyższych procesów za pośrednictwem CST2021 nie będzie możliwa, dokumenty składane są w sposób wskazany przez właściwą instytucję.</w:t>
      </w:r>
    </w:p>
    <w:p w14:paraId="7C842E9E" w14:textId="29FA7570" w:rsidR="00115B39" w:rsidRPr="00A53384" w:rsidRDefault="00623053" w:rsidP="007C47BC">
      <w:pPr>
        <w:pStyle w:val="Nagwek1"/>
      </w:pPr>
      <w:bookmarkStart w:id="189" w:name="_Toc495404682"/>
      <w:bookmarkStart w:id="190" w:name="_Toc497225602"/>
      <w:bookmarkStart w:id="191" w:name="_Toc501034943"/>
      <w:bookmarkStart w:id="192" w:name="_Toc410391324"/>
      <w:bookmarkStart w:id="193" w:name="_Toc410647882"/>
      <w:bookmarkStart w:id="194" w:name="_Toc410828468"/>
      <w:bookmarkStart w:id="195" w:name="_Toc406401695"/>
      <w:bookmarkStart w:id="196" w:name="_Toc406578532"/>
      <w:bookmarkStart w:id="197" w:name="_Toc403032192"/>
      <w:bookmarkStart w:id="198" w:name="_Toc403039108"/>
      <w:bookmarkStart w:id="199" w:name="_Toc403032193"/>
      <w:bookmarkStart w:id="200" w:name="_Toc403039109"/>
      <w:bookmarkStart w:id="201" w:name="_Toc403032194"/>
      <w:bookmarkStart w:id="202" w:name="_Toc403039110"/>
      <w:bookmarkStart w:id="203" w:name="_Toc403032195"/>
      <w:bookmarkStart w:id="204" w:name="_Toc403039111"/>
      <w:bookmarkStart w:id="205" w:name="_Toc403032196"/>
      <w:bookmarkStart w:id="206" w:name="_Toc403039112"/>
      <w:bookmarkStart w:id="207" w:name="_Toc403032197"/>
      <w:bookmarkStart w:id="208" w:name="_Toc403039113"/>
      <w:bookmarkStart w:id="209" w:name="_Toc403032198"/>
      <w:bookmarkStart w:id="210" w:name="_Toc403039114"/>
      <w:bookmarkStart w:id="211" w:name="_Toc382825305"/>
      <w:bookmarkStart w:id="212" w:name="_Toc382825536"/>
      <w:bookmarkStart w:id="213" w:name="_Toc382570649"/>
      <w:bookmarkStart w:id="214" w:name="_Toc88553305"/>
      <w:bookmarkStart w:id="215" w:name="_Toc95118837"/>
      <w:bookmarkStart w:id="216" w:name="_Toc109128018"/>
      <w:bookmarkStart w:id="217" w:name="_Toc110601972"/>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t xml:space="preserve">Rozdział 6. </w:t>
      </w:r>
      <w:r w:rsidR="00115B39" w:rsidRPr="00A53384">
        <w:t>Monitorowanie pomocy technicznej</w:t>
      </w:r>
      <w:bookmarkEnd w:id="213"/>
      <w:bookmarkEnd w:id="214"/>
      <w:bookmarkEnd w:id="215"/>
      <w:bookmarkEnd w:id="216"/>
      <w:bookmarkEnd w:id="217"/>
    </w:p>
    <w:p w14:paraId="75FD6A1E" w14:textId="77777777" w:rsidR="00115B39" w:rsidRPr="00A53384" w:rsidRDefault="00115B39" w:rsidP="00115B39">
      <w:pPr>
        <w:pStyle w:val="Akapitzlist"/>
        <w:numPr>
          <w:ilvl w:val="0"/>
          <w:numId w:val="8"/>
        </w:numPr>
        <w:spacing w:before="120" w:after="120" w:line="360" w:lineRule="auto"/>
        <w:ind w:left="357" w:hanging="357"/>
        <w:rPr>
          <w:rFonts w:cs="Arial"/>
        </w:rPr>
      </w:pPr>
      <w:r w:rsidRPr="00A53384">
        <w:rPr>
          <w:rFonts w:cs="Arial"/>
        </w:rPr>
        <w:t>Monitorowanie pomocy technicznej obejmuje zarówno postęp rzeczowy, jak i</w:t>
      </w:r>
      <w:r>
        <w:rPr>
          <w:rFonts w:cs="Arial"/>
        </w:rPr>
        <w:t> </w:t>
      </w:r>
      <w:r w:rsidRPr="00A53384">
        <w:rPr>
          <w:rFonts w:cs="Arial"/>
        </w:rPr>
        <w:t>finansowy.</w:t>
      </w:r>
    </w:p>
    <w:p w14:paraId="15DCF185" w14:textId="42E040CD" w:rsidR="00115B39" w:rsidRPr="007C47BC" w:rsidRDefault="00115B39" w:rsidP="00115B39">
      <w:pPr>
        <w:pStyle w:val="Akapitzlist"/>
        <w:numPr>
          <w:ilvl w:val="0"/>
          <w:numId w:val="8"/>
        </w:numPr>
        <w:spacing w:before="120" w:after="120" w:line="360" w:lineRule="auto"/>
        <w:ind w:left="357" w:hanging="357"/>
        <w:contextualSpacing w:val="0"/>
        <w:rPr>
          <w:rFonts w:cs="Arial"/>
        </w:rPr>
      </w:pPr>
      <w:r w:rsidRPr="007C47BC">
        <w:rPr>
          <w:rFonts w:cs="Arial"/>
        </w:rPr>
        <w:t>Częstotliwość i warunki zbierania oraz przekazywania informacji na temat postępu rzeczowego i finansowego określone są w Wytycznych dotyczących monitorowania postępu rzeczowego realizacji programów. IZ przekazuje część danych z załącznika VII do rozporządzenia ogólnego dotyczących pomocy technicznej, do IK PT dwa razy w roku, w terminach do 20 stycznia i 20 lipca.</w:t>
      </w:r>
    </w:p>
    <w:p w14:paraId="582A2F17" w14:textId="437232A8" w:rsidR="00115B39" w:rsidRPr="00A53384" w:rsidRDefault="00115B39" w:rsidP="00115B39">
      <w:pPr>
        <w:pStyle w:val="Akapitzlist"/>
        <w:numPr>
          <w:ilvl w:val="0"/>
          <w:numId w:val="8"/>
        </w:numPr>
        <w:spacing w:before="120" w:after="120" w:line="360" w:lineRule="auto"/>
        <w:ind w:left="357" w:hanging="357"/>
        <w:contextualSpacing w:val="0"/>
        <w:rPr>
          <w:rFonts w:cs="Arial"/>
        </w:rPr>
      </w:pPr>
      <w:r w:rsidRPr="00A53384">
        <w:rPr>
          <w:rFonts w:cs="Arial"/>
        </w:rPr>
        <w:t xml:space="preserve">W przypadku wystąpienia uzasadnionej potrzeby IK PT może zwrócić się do </w:t>
      </w:r>
      <w:r w:rsidR="00422955">
        <w:rPr>
          <w:rFonts w:cs="Arial"/>
        </w:rPr>
        <w:t>IZ</w:t>
      </w:r>
      <w:r>
        <w:rPr>
          <w:rFonts w:cs="Arial"/>
        </w:rPr>
        <w:t xml:space="preserve"> </w:t>
      </w:r>
      <w:r w:rsidRPr="00A53384">
        <w:rPr>
          <w:rFonts w:cs="Arial"/>
        </w:rPr>
        <w:t xml:space="preserve">z prośbą o przekazanie informacji na temat </w:t>
      </w:r>
      <w:r w:rsidRPr="007B77DC">
        <w:rPr>
          <w:rFonts w:cs="Arial"/>
        </w:rPr>
        <w:t xml:space="preserve">postępu rzeczowego i finansowego w terminach innych niż te określone w Wytycznych </w:t>
      </w:r>
      <w:r>
        <w:rPr>
          <w:rFonts w:cs="Arial"/>
        </w:rPr>
        <w:t>dotyczących</w:t>
      </w:r>
      <w:r w:rsidRPr="007B77DC">
        <w:rPr>
          <w:rFonts w:cs="Arial"/>
        </w:rPr>
        <w:t xml:space="preserve"> monitorowania postępu rzeczowego realizacji programów.</w:t>
      </w:r>
    </w:p>
    <w:p w14:paraId="655D72E6" w14:textId="77777777" w:rsidR="00115B39" w:rsidRPr="00A53384" w:rsidRDefault="00115B39" w:rsidP="00115B39">
      <w:pPr>
        <w:pStyle w:val="Akapitzlist"/>
        <w:numPr>
          <w:ilvl w:val="0"/>
          <w:numId w:val="8"/>
        </w:numPr>
        <w:spacing w:before="120" w:after="120" w:line="360" w:lineRule="auto"/>
        <w:ind w:left="357" w:hanging="357"/>
        <w:contextualSpacing w:val="0"/>
        <w:rPr>
          <w:rFonts w:cs="Arial"/>
        </w:rPr>
      </w:pPr>
      <w:r w:rsidRPr="00A53384">
        <w:rPr>
          <w:rFonts w:cs="Arial"/>
        </w:rPr>
        <w:t>Postęp rzeczowy powinien wiązać się z postępem finansowym. Do wartości wskaźników nie są wliczane zdarzenia, których powstanie nie wiązało się z poniesieniem wydatków</w:t>
      </w:r>
      <w:r w:rsidRPr="00A53384">
        <w:rPr>
          <w:rStyle w:val="Odwoanieprzypisudolnego"/>
          <w:rFonts w:cs="Arial"/>
        </w:rPr>
        <w:footnoteReference w:id="8"/>
      </w:r>
      <w:r w:rsidRPr="00A53384">
        <w:rPr>
          <w:rFonts w:cs="Arial"/>
        </w:rPr>
        <w:t>.</w:t>
      </w:r>
    </w:p>
    <w:p w14:paraId="4D0DD0D3" w14:textId="77777777" w:rsidR="00115B39" w:rsidRPr="00A53384" w:rsidRDefault="00115B39" w:rsidP="00115B39">
      <w:pPr>
        <w:pStyle w:val="Akapitzlist"/>
        <w:numPr>
          <w:ilvl w:val="0"/>
          <w:numId w:val="8"/>
        </w:numPr>
        <w:spacing w:before="120" w:after="120" w:line="360" w:lineRule="auto"/>
        <w:ind w:left="357" w:hanging="357"/>
        <w:contextualSpacing w:val="0"/>
        <w:rPr>
          <w:rFonts w:cs="Arial"/>
        </w:rPr>
      </w:pPr>
      <w:r w:rsidRPr="00A53384">
        <w:rPr>
          <w:rFonts w:cs="Arial"/>
        </w:rPr>
        <w:t xml:space="preserve">Monitorowanie postępu rzeczowego odbywa się za pomocą wspólnego dla wszystkich właściwych instytucji katalogu wskaźników określonego w Tabeli 1. </w:t>
      </w:r>
    </w:p>
    <w:p w14:paraId="2610FE61" w14:textId="77777777" w:rsidR="00115B39" w:rsidRPr="00A53384" w:rsidRDefault="00115B39" w:rsidP="00115B39">
      <w:pPr>
        <w:pStyle w:val="Akapitzlist"/>
        <w:numPr>
          <w:ilvl w:val="0"/>
          <w:numId w:val="8"/>
        </w:numPr>
        <w:spacing w:before="120" w:after="120" w:line="360" w:lineRule="auto"/>
        <w:ind w:left="357" w:hanging="357"/>
        <w:contextualSpacing w:val="0"/>
        <w:rPr>
          <w:rFonts w:cs="Arial"/>
        </w:rPr>
      </w:pPr>
      <w:r w:rsidRPr="00A53384">
        <w:rPr>
          <w:rFonts w:cs="Arial"/>
        </w:rPr>
        <w:t>Wskaźniki produktu (Tabela 1) znajdują się na Liście Wskaźników Kluczowych (LWK) i mogą zostać ujęte zarówno w treści programu, jak i w treści SzOP. Dla wskaźników produktu konieczne jest określenie wartości śródokresowych i</w:t>
      </w:r>
      <w:r>
        <w:rPr>
          <w:rFonts w:cs="Arial"/>
        </w:rPr>
        <w:t> </w:t>
      </w:r>
      <w:r w:rsidRPr="00A53384">
        <w:rPr>
          <w:rFonts w:cs="Arial"/>
        </w:rPr>
        <w:t>docelowych tj. na lata 2024 oraz 202</w:t>
      </w:r>
      <w:r>
        <w:rPr>
          <w:rFonts w:cs="Arial"/>
        </w:rPr>
        <w:t>9</w:t>
      </w:r>
      <w:r w:rsidRPr="00A53384">
        <w:rPr>
          <w:rFonts w:cs="Arial"/>
        </w:rPr>
        <w:t>.</w:t>
      </w:r>
    </w:p>
    <w:p w14:paraId="74FB8CE7" w14:textId="77777777" w:rsidR="00115B39" w:rsidRPr="00A53384" w:rsidRDefault="00115B39" w:rsidP="00115B39">
      <w:pPr>
        <w:pStyle w:val="Akapitzlist"/>
        <w:numPr>
          <w:ilvl w:val="0"/>
          <w:numId w:val="8"/>
        </w:numPr>
        <w:spacing w:before="120" w:after="120" w:line="360" w:lineRule="auto"/>
        <w:ind w:left="357" w:hanging="357"/>
        <w:contextualSpacing w:val="0"/>
        <w:rPr>
          <w:rFonts w:cs="Arial"/>
        </w:rPr>
      </w:pPr>
      <w:r w:rsidRPr="00A53384">
        <w:rPr>
          <w:rFonts w:cs="Arial"/>
        </w:rPr>
        <w:t xml:space="preserve">Częstotliwość pomiaru wskaźników produktu jest </w:t>
      </w:r>
      <w:r>
        <w:rPr>
          <w:rFonts w:cs="Arial"/>
        </w:rPr>
        <w:t>uzależniona od okresu sprawozdawczego za jaki składany jest wniosek o płatność, lecz co najmniej półroczna</w:t>
      </w:r>
      <w:r w:rsidRPr="00A53384">
        <w:rPr>
          <w:rFonts w:cs="Arial"/>
        </w:rPr>
        <w:t xml:space="preserve">. </w:t>
      </w:r>
      <w:r>
        <w:rPr>
          <w:rFonts w:cs="Arial"/>
        </w:rPr>
        <w:t>D</w:t>
      </w:r>
      <w:r w:rsidRPr="00A53384">
        <w:rPr>
          <w:rFonts w:cs="Arial"/>
        </w:rPr>
        <w:t>ecyzję o zwiększeniu częstotliwości pomiaru</w:t>
      </w:r>
      <w:r>
        <w:rPr>
          <w:rFonts w:cs="Arial"/>
        </w:rPr>
        <w:t xml:space="preserve"> podejmuje właściwa IZ</w:t>
      </w:r>
      <w:r w:rsidRPr="00A53384">
        <w:rPr>
          <w:rFonts w:cs="Arial"/>
        </w:rPr>
        <w:t>.</w:t>
      </w:r>
    </w:p>
    <w:p w14:paraId="71596690" w14:textId="77777777" w:rsidR="00115B39" w:rsidRPr="00A53384" w:rsidRDefault="00115B39" w:rsidP="00115B39">
      <w:pPr>
        <w:pStyle w:val="Akapitzlist"/>
        <w:numPr>
          <w:ilvl w:val="0"/>
          <w:numId w:val="8"/>
        </w:numPr>
        <w:spacing w:before="120" w:after="120" w:line="360" w:lineRule="auto"/>
        <w:ind w:left="357" w:hanging="357"/>
        <w:contextualSpacing w:val="0"/>
        <w:rPr>
          <w:rFonts w:cs="Arial"/>
        </w:rPr>
      </w:pPr>
      <w:r w:rsidRPr="00A53384">
        <w:rPr>
          <w:rFonts w:cs="Arial"/>
        </w:rPr>
        <w:t xml:space="preserve">Podstawowym źródłem danych dla monitorowania wskaźników produktu jest </w:t>
      </w:r>
      <w:r w:rsidRPr="00817266">
        <w:rPr>
          <w:rFonts w:cs="Arial"/>
        </w:rPr>
        <w:t>CST2021</w:t>
      </w:r>
      <w:r w:rsidRPr="007B77DC">
        <w:rPr>
          <w:rFonts w:cs="Arial"/>
          <w:i/>
          <w:iCs/>
        </w:rPr>
        <w:t xml:space="preserve">. </w:t>
      </w:r>
      <w:r w:rsidRPr="00E2224C">
        <w:rPr>
          <w:rFonts w:cs="Arial"/>
        </w:rPr>
        <w:t xml:space="preserve">Wartość wskaźników: Średnioroczna liczba etatów finansowanych </w:t>
      </w:r>
      <w:r w:rsidRPr="00E2224C">
        <w:rPr>
          <w:rFonts w:cs="Arial"/>
        </w:rPr>
        <w:lastRenderedPageBreak/>
        <w:t>z</w:t>
      </w:r>
      <w:r>
        <w:rPr>
          <w:rFonts w:cs="Arial"/>
        </w:rPr>
        <w:t> </w:t>
      </w:r>
      <w:r w:rsidRPr="00E2224C">
        <w:rPr>
          <w:rFonts w:cs="Arial"/>
        </w:rPr>
        <w:t xml:space="preserve">pomocy technicznej, </w:t>
      </w:r>
      <w:r w:rsidRPr="00E2224C">
        <w:rPr>
          <w:rFonts w:cs="Arial"/>
          <w:color w:val="000000"/>
        </w:rPr>
        <w:t xml:space="preserve">Liczba punktów informacyjnych na terenie kraju, </w:t>
      </w:r>
      <w:r w:rsidRPr="00E2224C">
        <w:rPr>
          <w:rFonts w:cs="Arial"/>
        </w:rPr>
        <w:t>Liczba użytkowników CST2021,</w:t>
      </w:r>
      <w:r w:rsidRPr="00A53384">
        <w:rPr>
          <w:rFonts w:cs="Arial"/>
        </w:rPr>
        <w:t xml:space="preserve"> może być obliczana przez IZ poza CST2021 ze względu na swoją specyfikę.</w:t>
      </w:r>
    </w:p>
    <w:p w14:paraId="61985291" w14:textId="48DEF9B2" w:rsidR="003C0823" w:rsidRPr="00F27B6A" w:rsidRDefault="00CD51B5" w:rsidP="00F27B6A">
      <w:pPr>
        <w:pStyle w:val="Akapitzlist"/>
        <w:numPr>
          <w:ilvl w:val="0"/>
          <w:numId w:val="8"/>
        </w:numPr>
        <w:spacing w:before="120" w:after="120" w:line="360" w:lineRule="auto"/>
        <w:ind w:left="357" w:hanging="357"/>
        <w:contextualSpacing w:val="0"/>
        <w:rPr>
          <w:rFonts w:cs="Arial"/>
        </w:rPr>
      </w:pPr>
      <w:r>
        <w:rPr>
          <w:rFonts w:cs="Arial"/>
        </w:rPr>
        <w:t>W</w:t>
      </w:r>
      <w:r w:rsidRPr="00CD51B5">
        <w:rPr>
          <w:rFonts w:cs="Arial"/>
        </w:rPr>
        <w:t xml:space="preserve"> szczególnych sytuacjach możliwe jest zastosowanie </w:t>
      </w:r>
      <w:r w:rsidR="00115B39" w:rsidRPr="002F5A6D">
        <w:rPr>
          <w:rFonts w:cs="Arial"/>
        </w:rPr>
        <w:t xml:space="preserve">wskaźników specyficznych dla projektów </w:t>
      </w:r>
      <w:r w:rsidR="00413DCA">
        <w:rPr>
          <w:rFonts w:cs="Arial"/>
        </w:rPr>
        <w:t xml:space="preserve">miedzy innymi w sytuacji opisanej </w:t>
      </w:r>
      <w:r w:rsidR="00115B39" w:rsidRPr="002F5A6D">
        <w:rPr>
          <w:rFonts w:cs="Arial"/>
        </w:rPr>
        <w:t>w przypisie dla wskaźnika „Średnioroczna liczba etatów finansowanych z pomocy technicznej”.</w:t>
      </w:r>
      <w:r>
        <w:rPr>
          <w:rFonts w:cs="Arial"/>
        </w:rPr>
        <w:t xml:space="preserve"> </w:t>
      </w:r>
    </w:p>
    <w:p w14:paraId="2E9B1C91" w14:textId="77777777" w:rsidR="00115B39" w:rsidRPr="00A77C79" w:rsidRDefault="00115B39" w:rsidP="007C47BC">
      <w:pPr>
        <w:pStyle w:val="Akapitzlist"/>
        <w:spacing w:before="120" w:after="120" w:line="360" w:lineRule="auto"/>
        <w:ind w:left="0"/>
        <w:contextualSpacing w:val="0"/>
        <w:rPr>
          <w:rFonts w:cs="Arial"/>
          <w:b/>
        </w:rPr>
      </w:pPr>
      <w:r w:rsidRPr="00A77C79">
        <w:rPr>
          <w:rFonts w:cs="Arial"/>
          <w:b/>
        </w:rPr>
        <w:t xml:space="preserve">Tabela 1: Wspólna lista wskaźników produktu dla wszystkich osi priorytetowych pomocy technicznej i PT FE </w:t>
      </w:r>
    </w:p>
    <w:tbl>
      <w:tblPr>
        <w:tblStyle w:val="Tabela-Siatka"/>
        <w:tblW w:w="0" w:type="auto"/>
        <w:tblLook w:val="04A0" w:firstRow="1" w:lastRow="0" w:firstColumn="1" w:lastColumn="0" w:noHBand="0" w:noVBand="1"/>
      </w:tblPr>
      <w:tblGrid>
        <w:gridCol w:w="572"/>
        <w:gridCol w:w="2736"/>
        <w:gridCol w:w="4548"/>
        <w:gridCol w:w="1206"/>
      </w:tblGrid>
      <w:tr w:rsidR="00115B39" w:rsidRPr="002245F9" w14:paraId="010B393D" w14:textId="77777777" w:rsidTr="00D634BA">
        <w:tc>
          <w:tcPr>
            <w:tcW w:w="572" w:type="dxa"/>
            <w:shd w:val="clear" w:color="auto" w:fill="BFBFBF" w:themeFill="background1" w:themeFillShade="BF"/>
          </w:tcPr>
          <w:p w14:paraId="0FA3C4F0" w14:textId="77777777" w:rsidR="00115B39" w:rsidRPr="007C47BC" w:rsidRDefault="00115B39" w:rsidP="007C47BC">
            <w:pPr>
              <w:tabs>
                <w:tab w:val="left" w:pos="3900"/>
              </w:tabs>
              <w:spacing w:line="360" w:lineRule="auto"/>
              <w:jc w:val="center"/>
              <w:rPr>
                <w:rFonts w:cs="Arial"/>
                <w:b/>
                <w:bCs/>
                <w:sz w:val="20"/>
                <w:szCs w:val="20"/>
              </w:rPr>
            </w:pPr>
            <w:r w:rsidRPr="007C47BC">
              <w:rPr>
                <w:rFonts w:cs="Arial"/>
                <w:b/>
                <w:bCs/>
                <w:sz w:val="20"/>
                <w:szCs w:val="20"/>
              </w:rPr>
              <w:t>L.p.</w:t>
            </w:r>
          </w:p>
        </w:tc>
        <w:tc>
          <w:tcPr>
            <w:tcW w:w="2736" w:type="dxa"/>
            <w:shd w:val="clear" w:color="auto" w:fill="BFBFBF" w:themeFill="background1" w:themeFillShade="BF"/>
          </w:tcPr>
          <w:p w14:paraId="18C6F1FF" w14:textId="77777777" w:rsidR="00115B39" w:rsidRPr="007C47BC" w:rsidRDefault="00115B39" w:rsidP="007C47BC">
            <w:pPr>
              <w:tabs>
                <w:tab w:val="left" w:pos="3900"/>
              </w:tabs>
              <w:spacing w:line="360" w:lineRule="auto"/>
              <w:jc w:val="center"/>
              <w:rPr>
                <w:rFonts w:cs="Arial"/>
                <w:b/>
                <w:bCs/>
                <w:sz w:val="20"/>
                <w:szCs w:val="20"/>
              </w:rPr>
            </w:pPr>
            <w:r w:rsidRPr="007C47BC">
              <w:rPr>
                <w:rFonts w:cs="Arial"/>
                <w:b/>
                <w:bCs/>
                <w:sz w:val="20"/>
                <w:szCs w:val="20"/>
              </w:rPr>
              <w:t>Nazwa</w:t>
            </w:r>
          </w:p>
        </w:tc>
        <w:tc>
          <w:tcPr>
            <w:tcW w:w="4548" w:type="dxa"/>
            <w:shd w:val="clear" w:color="auto" w:fill="BFBFBF" w:themeFill="background1" w:themeFillShade="BF"/>
          </w:tcPr>
          <w:p w14:paraId="233E9011" w14:textId="77777777" w:rsidR="00115B39" w:rsidRPr="007C47BC" w:rsidRDefault="00115B39" w:rsidP="007C47BC">
            <w:pPr>
              <w:tabs>
                <w:tab w:val="left" w:pos="3900"/>
              </w:tabs>
              <w:spacing w:line="360" w:lineRule="auto"/>
              <w:jc w:val="center"/>
              <w:rPr>
                <w:rFonts w:cs="Arial"/>
                <w:b/>
                <w:bCs/>
                <w:sz w:val="20"/>
                <w:szCs w:val="20"/>
              </w:rPr>
            </w:pPr>
            <w:r w:rsidRPr="007C47BC">
              <w:rPr>
                <w:rFonts w:cs="Arial"/>
                <w:b/>
                <w:bCs/>
                <w:sz w:val="20"/>
                <w:szCs w:val="20"/>
              </w:rPr>
              <w:t>Definicja i sposób pomiaru</w:t>
            </w:r>
          </w:p>
        </w:tc>
        <w:tc>
          <w:tcPr>
            <w:tcW w:w="1206" w:type="dxa"/>
            <w:shd w:val="clear" w:color="auto" w:fill="BFBFBF" w:themeFill="background1" w:themeFillShade="BF"/>
          </w:tcPr>
          <w:p w14:paraId="32299A25" w14:textId="77777777" w:rsidR="00115B39" w:rsidRPr="007C47BC" w:rsidRDefault="00115B39" w:rsidP="007C47BC">
            <w:pPr>
              <w:tabs>
                <w:tab w:val="left" w:pos="3900"/>
              </w:tabs>
              <w:spacing w:line="360" w:lineRule="auto"/>
              <w:jc w:val="center"/>
              <w:rPr>
                <w:rFonts w:cs="Arial"/>
                <w:b/>
                <w:bCs/>
                <w:sz w:val="20"/>
                <w:szCs w:val="20"/>
              </w:rPr>
            </w:pPr>
            <w:r w:rsidRPr="007C47BC">
              <w:rPr>
                <w:rFonts w:cs="Arial"/>
                <w:b/>
                <w:bCs/>
                <w:sz w:val="20"/>
                <w:szCs w:val="20"/>
              </w:rPr>
              <w:t>Jednostka pomiaru</w:t>
            </w:r>
          </w:p>
        </w:tc>
      </w:tr>
      <w:tr w:rsidR="00115B39" w:rsidRPr="002245F9" w14:paraId="4DD2E902" w14:textId="77777777" w:rsidTr="00D634BA">
        <w:tc>
          <w:tcPr>
            <w:tcW w:w="572" w:type="dxa"/>
            <w:vAlign w:val="center"/>
          </w:tcPr>
          <w:p w14:paraId="269F8AB1"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1.</w:t>
            </w:r>
          </w:p>
        </w:tc>
        <w:tc>
          <w:tcPr>
            <w:tcW w:w="2736" w:type="dxa"/>
            <w:vAlign w:val="center"/>
          </w:tcPr>
          <w:p w14:paraId="51985E40" w14:textId="77777777" w:rsidR="00115B39" w:rsidRPr="007C47BC" w:rsidRDefault="00115B39" w:rsidP="007C47BC">
            <w:pPr>
              <w:tabs>
                <w:tab w:val="left" w:pos="3900"/>
              </w:tabs>
              <w:spacing w:line="360" w:lineRule="auto"/>
              <w:rPr>
                <w:rFonts w:cs="Arial"/>
                <w:sz w:val="20"/>
                <w:szCs w:val="20"/>
              </w:rPr>
            </w:pPr>
            <w:r w:rsidRPr="007C47BC">
              <w:rPr>
                <w:rFonts w:cs="Arial"/>
                <w:color w:val="000000"/>
                <w:sz w:val="20"/>
                <w:szCs w:val="20"/>
              </w:rPr>
              <w:t>Średnioroczna liczba etatów finansowanych z pomocy technicznej</w:t>
            </w:r>
            <w:r w:rsidRPr="007C47BC">
              <w:rPr>
                <w:rStyle w:val="Odwoanieprzypisudolnego"/>
                <w:color w:val="000000"/>
                <w:sz w:val="20"/>
                <w:szCs w:val="20"/>
              </w:rPr>
              <w:footnoteReference w:id="9"/>
            </w:r>
          </w:p>
        </w:tc>
        <w:tc>
          <w:tcPr>
            <w:tcW w:w="4548" w:type="dxa"/>
            <w:vAlign w:val="center"/>
          </w:tcPr>
          <w:p w14:paraId="5D649A32"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 xml:space="preserve">Wartość wskaźnika liczona jest poprzez zsumowanie liczby etatów finansowanych z PT w poszczególnych miesiącach i podzieleniu ich przez 12 miesięcy. </w:t>
            </w:r>
          </w:p>
          <w:p w14:paraId="777C69B2"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W = (LE1 + LE2 + ….+ LEN)/ 12</w:t>
            </w:r>
          </w:p>
          <w:p w14:paraId="7AEFC354"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 xml:space="preserve">W – wartość wskaźnika </w:t>
            </w:r>
          </w:p>
          <w:p w14:paraId="5B255C7C" w14:textId="77777777" w:rsidR="00115B39" w:rsidRPr="007C47BC" w:rsidRDefault="00115B39" w:rsidP="007C47BC">
            <w:pPr>
              <w:tabs>
                <w:tab w:val="left" w:pos="3900"/>
              </w:tabs>
              <w:spacing w:after="120" w:line="360" w:lineRule="auto"/>
              <w:rPr>
                <w:rFonts w:cs="Arial"/>
                <w:sz w:val="20"/>
                <w:szCs w:val="20"/>
              </w:rPr>
            </w:pPr>
            <w:r w:rsidRPr="007C47BC">
              <w:rPr>
                <w:rFonts w:cs="Arial"/>
                <w:sz w:val="20"/>
                <w:szCs w:val="20"/>
              </w:rPr>
              <w:t xml:space="preserve">LE – liczba etatów finansowanych w danym miesiącu </w:t>
            </w:r>
          </w:p>
          <w:p w14:paraId="4359DB56"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 xml:space="preserve">Liczba etatów finansowanych w danym miesiącu (LE) liczona jest jako suma iloczynów poziomu kwalifikowalności i wymiaru czasu pracy dla każdego stanowiska finansowanego z PT. </w:t>
            </w:r>
          </w:p>
          <w:p w14:paraId="6940475C"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lastRenderedPageBreak/>
              <w:t>LE = PK1*WE1 + PK2*WE2 + … +PKN*WEN</w:t>
            </w:r>
          </w:p>
          <w:p w14:paraId="61FE7B72"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PK – poziom kwalifikowalności</w:t>
            </w:r>
          </w:p>
          <w:p w14:paraId="7AD2BB3F"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WE – wymiar etatu</w:t>
            </w:r>
          </w:p>
          <w:p w14:paraId="0166633D"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 xml:space="preserve">Zliczane są wyłącznie etaty w ramach stosunku pracy. </w:t>
            </w:r>
          </w:p>
          <w:p w14:paraId="4FF9DEAB"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 xml:space="preserve">W przypadku zmiany poziomu kwalifikowalności lub wymiaru etatu w ciągu miesiąca dla całego miesiąca przyjmowany jest poziom obowiązujący na ostatni dzień tego miesiąca lub ostatni dzień obsadzenia tego stanowiska (w sytuacji gdy pracownik kończy pracę i stanowisko pozostaje nieobsadzone). </w:t>
            </w:r>
          </w:p>
          <w:p w14:paraId="3FE03936"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Nie ma możliwości dzielenia miesiąca tj. nawet jak pracownik przepracował tylko kilka dni w danym miesiącu jest on w całości wliczany do wartości wskaźnika. W tym przypadku wynagrodzenie jest współfinansowane w sposób proporcjonalny.</w:t>
            </w:r>
          </w:p>
          <w:p w14:paraId="17FFB1EC"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t xml:space="preserve">Do wskaźnika nie wliczane są okresy, w których nie są ponoszone koszty w związku z płacą zasadniczą. </w:t>
            </w:r>
          </w:p>
        </w:tc>
        <w:tc>
          <w:tcPr>
            <w:tcW w:w="1206" w:type="dxa"/>
            <w:vAlign w:val="center"/>
          </w:tcPr>
          <w:p w14:paraId="47597464" w14:textId="77777777" w:rsidR="00115B39" w:rsidRPr="007C47BC" w:rsidRDefault="00115B39" w:rsidP="007C47BC">
            <w:pPr>
              <w:tabs>
                <w:tab w:val="left" w:pos="3900"/>
              </w:tabs>
              <w:spacing w:line="360" w:lineRule="auto"/>
              <w:rPr>
                <w:rFonts w:cs="Arial"/>
                <w:sz w:val="20"/>
                <w:szCs w:val="20"/>
              </w:rPr>
            </w:pPr>
            <w:r w:rsidRPr="007C47BC">
              <w:rPr>
                <w:rFonts w:cs="Arial"/>
                <w:sz w:val="20"/>
                <w:szCs w:val="20"/>
              </w:rPr>
              <w:lastRenderedPageBreak/>
              <w:t>Sztuka</w:t>
            </w:r>
          </w:p>
        </w:tc>
      </w:tr>
      <w:tr w:rsidR="00115B39" w:rsidRPr="002245F9" w14:paraId="436DEAF3" w14:textId="77777777" w:rsidTr="00D634BA">
        <w:tc>
          <w:tcPr>
            <w:tcW w:w="572" w:type="dxa"/>
            <w:vAlign w:val="center"/>
          </w:tcPr>
          <w:p w14:paraId="2F41D2E9"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2.</w:t>
            </w:r>
          </w:p>
        </w:tc>
        <w:tc>
          <w:tcPr>
            <w:tcW w:w="2736" w:type="dxa"/>
            <w:vAlign w:val="center"/>
          </w:tcPr>
          <w:p w14:paraId="0B44FEAD"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color w:val="000000"/>
                <w:sz w:val="20"/>
                <w:szCs w:val="20"/>
              </w:rPr>
              <w:t>Liczba uczestników form szkoleniowych dla instytucji</w:t>
            </w:r>
          </w:p>
        </w:tc>
        <w:tc>
          <w:tcPr>
            <w:tcW w:w="4548" w:type="dxa"/>
          </w:tcPr>
          <w:p w14:paraId="70EAF801"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 xml:space="preserve">Obliczając wartość wskaźnika należy zsumować wszystkich uczestników wszystkich form szkoleniowych przeprowadzonych dla pracowników instytucji (tj. szkoleń, warsztatów, seminariów, kursów, studiów, webinariów, itp.) finansowanych ze środków PT. </w:t>
            </w:r>
          </w:p>
          <w:p w14:paraId="0139314F"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 xml:space="preserve">Dana osoba powinna zostać policzona tyle razy, w ilu szkoleniach wzięła udział. </w:t>
            </w:r>
          </w:p>
          <w:p w14:paraId="0A254964"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Wskaźnik naliczany jest raz w momencie pierwszej płatności za formę szkoleniową.</w:t>
            </w:r>
          </w:p>
          <w:p w14:paraId="537D42D1"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Certyfikaty/dyplomy/zaświadczenia lub inne dokumenty potwierdzające indywidualny udział w formie szkoleniowej (lub ich potwierdzona za zgodność z oryginałem kserokopia) są przechowywane u beneficjenta i udostępniane kontrolerom projektu.</w:t>
            </w:r>
          </w:p>
          <w:p w14:paraId="077927D4" w14:textId="6DF9750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lastRenderedPageBreak/>
              <w:t xml:space="preserve">Poprzez „instytucje” rozumiane są instytucje funkcjonujące w systemie wdrażania polityki spójności w latach 2021-2027 w Polsce tj. np. </w:t>
            </w:r>
            <w:r w:rsidR="00422955">
              <w:rPr>
                <w:rFonts w:cs="Arial"/>
                <w:sz w:val="20"/>
                <w:szCs w:val="20"/>
              </w:rPr>
              <w:t>IZ, IP, IA</w:t>
            </w:r>
            <w:r w:rsidRPr="007C47BC">
              <w:rPr>
                <w:rFonts w:cs="Arial"/>
                <w:sz w:val="20"/>
                <w:szCs w:val="20"/>
              </w:rPr>
              <w:t xml:space="preserve">. </w:t>
            </w:r>
          </w:p>
          <w:p w14:paraId="4DF9AE5B"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 xml:space="preserve">Do wskaźnika nie są wliczane formy szkoleniowe bezkosztowe przy organizacji których nie są ponoszone żadne wydatki. </w:t>
            </w:r>
          </w:p>
        </w:tc>
        <w:tc>
          <w:tcPr>
            <w:tcW w:w="1206" w:type="dxa"/>
            <w:vAlign w:val="center"/>
          </w:tcPr>
          <w:p w14:paraId="7EA2B7B1"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lastRenderedPageBreak/>
              <w:t>Osoba</w:t>
            </w:r>
          </w:p>
        </w:tc>
      </w:tr>
      <w:tr w:rsidR="00115B39" w:rsidRPr="002245F9" w14:paraId="05149F77" w14:textId="77777777" w:rsidTr="00D634BA">
        <w:tc>
          <w:tcPr>
            <w:tcW w:w="572" w:type="dxa"/>
            <w:vAlign w:val="center"/>
          </w:tcPr>
          <w:p w14:paraId="6ADB4A9C"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3.</w:t>
            </w:r>
          </w:p>
        </w:tc>
        <w:tc>
          <w:tcPr>
            <w:tcW w:w="2736" w:type="dxa"/>
            <w:vAlign w:val="center"/>
          </w:tcPr>
          <w:p w14:paraId="79CA36CF"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Liczba przeprowadzonych ewaluacji</w:t>
            </w:r>
          </w:p>
        </w:tc>
        <w:tc>
          <w:tcPr>
            <w:tcW w:w="4548" w:type="dxa"/>
          </w:tcPr>
          <w:p w14:paraId="5DA59204" w14:textId="77777777" w:rsidR="00115B39" w:rsidRPr="007C47BC" w:rsidRDefault="00115B39" w:rsidP="007C47BC">
            <w:pPr>
              <w:spacing w:before="120" w:after="120" w:line="360" w:lineRule="auto"/>
              <w:rPr>
                <w:rFonts w:cs="Arial"/>
                <w:sz w:val="20"/>
                <w:szCs w:val="20"/>
                <w:u w:val="single"/>
              </w:rPr>
            </w:pPr>
            <w:r w:rsidRPr="007C47BC">
              <w:rPr>
                <w:rFonts w:cs="Arial"/>
                <w:sz w:val="20"/>
                <w:szCs w:val="20"/>
              </w:rPr>
              <w:t>Do wartości wskaźnika wliczane są wszystkie badania ewaluacyjne finansowane z PT polegające na analizie i ocenie skuteczności, efektywności, użyteczności, trafności, trwałości lub spójności interwencji publicznych realizowanych w ramach polityki spójności, służące poprawie jakości ich programowania i wdrażania, a także analizy i oceny tzw. wpływu lub wartości dodanej UE.</w:t>
            </w:r>
          </w:p>
          <w:p w14:paraId="33DF962B"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Ewaluacje realizowane są przez ewaluatorów zewnętrznych lub wewnętrznych funkcjonalnie niezależnych od podmiotów odpowiedzialnych za realizację programów operacyjnych.</w:t>
            </w:r>
          </w:p>
        </w:tc>
        <w:tc>
          <w:tcPr>
            <w:tcW w:w="1206" w:type="dxa"/>
            <w:vAlign w:val="center"/>
          </w:tcPr>
          <w:p w14:paraId="2390CCFC"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Sztuka</w:t>
            </w:r>
          </w:p>
        </w:tc>
      </w:tr>
      <w:tr w:rsidR="00115B39" w:rsidRPr="002245F9" w14:paraId="1A4DD9E8" w14:textId="77777777" w:rsidTr="00D634BA">
        <w:tc>
          <w:tcPr>
            <w:tcW w:w="572" w:type="dxa"/>
            <w:vAlign w:val="center"/>
          </w:tcPr>
          <w:p w14:paraId="03364963"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4.</w:t>
            </w:r>
          </w:p>
        </w:tc>
        <w:tc>
          <w:tcPr>
            <w:tcW w:w="2736" w:type="dxa"/>
            <w:vAlign w:val="center"/>
          </w:tcPr>
          <w:p w14:paraId="54AA146F"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Liczba opracowanych ekspertyz</w:t>
            </w:r>
          </w:p>
        </w:tc>
        <w:tc>
          <w:tcPr>
            <w:tcW w:w="4548" w:type="dxa"/>
          </w:tcPr>
          <w:p w14:paraId="1BDECC62" w14:textId="54B9C52A" w:rsidR="00115B39" w:rsidRPr="007C47BC" w:rsidRDefault="00115B39" w:rsidP="007C47BC">
            <w:pPr>
              <w:spacing w:before="120" w:after="120" w:line="360" w:lineRule="auto"/>
              <w:rPr>
                <w:rFonts w:cs="Arial"/>
                <w:sz w:val="20"/>
                <w:szCs w:val="20"/>
              </w:rPr>
            </w:pPr>
            <w:r w:rsidRPr="007C47BC">
              <w:rPr>
                <w:rFonts w:cs="Arial"/>
                <w:sz w:val="20"/>
                <w:szCs w:val="20"/>
              </w:rPr>
              <w:t xml:space="preserve">Obliczając wartość wskaźnika należy zsumować wszystkie ekspertyzy (tj. sporządzone opinie, analizy, studia, koncepcje itp.), które zostały zakończone wydaniem stosownego dokumentu </w:t>
            </w:r>
            <w:r w:rsidR="004D3089" w:rsidRPr="007C47BC">
              <w:rPr>
                <w:rFonts w:cs="Arial"/>
                <w:sz w:val="20"/>
                <w:szCs w:val="20"/>
              </w:rPr>
              <w:t>i</w:t>
            </w:r>
            <w:r w:rsidR="004D3089">
              <w:rPr>
                <w:rFonts w:cs="Arial"/>
                <w:sz w:val="20"/>
                <w:szCs w:val="20"/>
              </w:rPr>
              <w:t> </w:t>
            </w:r>
            <w:r w:rsidRPr="007C47BC">
              <w:rPr>
                <w:rFonts w:cs="Arial"/>
                <w:sz w:val="20"/>
                <w:szCs w:val="20"/>
              </w:rPr>
              <w:t xml:space="preserve">zostały sporządzone na potrzeby instytucji lub partnerów będących członkami sieci tematycznych, grup roboczych lub komitetów, </w:t>
            </w:r>
            <w:r w:rsidR="004D3089" w:rsidRPr="007C47BC">
              <w:rPr>
                <w:rFonts w:cs="Arial"/>
                <w:sz w:val="20"/>
                <w:szCs w:val="20"/>
              </w:rPr>
              <w:t>a</w:t>
            </w:r>
            <w:r w:rsidR="004D3089">
              <w:rPr>
                <w:rFonts w:cs="Arial"/>
                <w:sz w:val="20"/>
                <w:szCs w:val="20"/>
              </w:rPr>
              <w:t> </w:t>
            </w:r>
            <w:r w:rsidRPr="007C47BC">
              <w:rPr>
                <w:rFonts w:cs="Arial"/>
                <w:sz w:val="20"/>
                <w:szCs w:val="20"/>
              </w:rPr>
              <w:t xml:space="preserve">także innych ciał dialogu angażujących partnerów, których działalność finansowana jest ze środków pomocy technicznej. </w:t>
            </w:r>
          </w:p>
          <w:p w14:paraId="4D537EDA" w14:textId="77777777" w:rsidR="00115B39" w:rsidRPr="007C47BC" w:rsidRDefault="00115B39" w:rsidP="007C47BC">
            <w:pPr>
              <w:spacing w:before="120" w:after="120" w:line="360" w:lineRule="auto"/>
              <w:rPr>
                <w:rFonts w:cs="Arial"/>
                <w:sz w:val="20"/>
                <w:szCs w:val="20"/>
              </w:rPr>
            </w:pPr>
            <w:r w:rsidRPr="007C47BC">
              <w:rPr>
                <w:rFonts w:cs="Arial"/>
                <w:sz w:val="20"/>
                <w:szCs w:val="20"/>
              </w:rPr>
              <w:t>Do wskaźnika nie wlicza się ewaluacji, które liczone są w ramach wskaźnika „Liczba przeprowadzonych ewaluacji”.</w:t>
            </w:r>
          </w:p>
        </w:tc>
        <w:tc>
          <w:tcPr>
            <w:tcW w:w="1206" w:type="dxa"/>
            <w:vAlign w:val="center"/>
          </w:tcPr>
          <w:p w14:paraId="17365454"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Sztuka</w:t>
            </w:r>
          </w:p>
        </w:tc>
      </w:tr>
      <w:tr w:rsidR="00115B39" w:rsidRPr="002245F9" w14:paraId="52D1BF47" w14:textId="77777777" w:rsidTr="00D634BA">
        <w:tc>
          <w:tcPr>
            <w:tcW w:w="572" w:type="dxa"/>
            <w:vAlign w:val="center"/>
          </w:tcPr>
          <w:p w14:paraId="37AD6662"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5.</w:t>
            </w:r>
          </w:p>
        </w:tc>
        <w:tc>
          <w:tcPr>
            <w:tcW w:w="2736" w:type="dxa"/>
            <w:vAlign w:val="center"/>
          </w:tcPr>
          <w:p w14:paraId="123D93EC"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Liczba zakupionych komputerów</w:t>
            </w:r>
          </w:p>
        </w:tc>
        <w:tc>
          <w:tcPr>
            <w:tcW w:w="4548" w:type="dxa"/>
          </w:tcPr>
          <w:p w14:paraId="5F6081CD" w14:textId="77777777" w:rsidR="00115B39" w:rsidRPr="007C47BC" w:rsidRDefault="00115B39" w:rsidP="007C47BC">
            <w:pPr>
              <w:spacing w:before="120" w:after="120" w:line="360" w:lineRule="auto"/>
              <w:rPr>
                <w:rFonts w:cs="Arial"/>
                <w:sz w:val="20"/>
                <w:szCs w:val="20"/>
              </w:rPr>
            </w:pPr>
            <w:r w:rsidRPr="007C47BC">
              <w:rPr>
                <w:rFonts w:cs="Arial"/>
                <w:sz w:val="20"/>
                <w:szCs w:val="20"/>
              </w:rPr>
              <w:t xml:space="preserve">Do wartości wskaźnika wliczane są zakupione komputery stacjonarne (także All-in-One) oraz </w:t>
            </w:r>
            <w:r w:rsidRPr="007C47BC">
              <w:rPr>
                <w:rFonts w:cs="Arial"/>
                <w:sz w:val="20"/>
                <w:szCs w:val="20"/>
              </w:rPr>
              <w:lastRenderedPageBreak/>
              <w:t>laptopy, które zostały sfinansowane ze środków pomocy technicznej.</w:t>
            </w:r>
          </w:p>
        </w:tc>
        <w:tc>
          <w:tcPr>
            <w:tcW w:w="1206" w:type="dxa"/>
            <w:vAlign w:val="center"/>
          </w:tcPr>
          <w:p w14:paraId="146070BD" w14:textId="77777777" w:rsidR="00115B39" w:rsidRPr="002245F9" w:rsidRDefault="00115B39" w:rsidP="00D634BA">
            <w:pPr>
              <w:tabs>
                <w:tab w:val="left" w:pos="3900"/>
              </w:tabs>
              <w:rPr>
                <w:rFonts w:cs="Arial"/>
              </w:rPr>
            </w:pPr>
            <w:r w:rsidRPr="002245F9">
              <w:rPr>
                <w:rFonts w:cs="Arial"/>
              </w:rPr>
              <w:lastRenderedPageBreak/>
              <w:t>Sztuka</w:t>
            </w:r>
          </w:p>
        </w:tc>
      </w:tr>
      <w:tr w:rsidR="00115B39" w:rsidRPr="002245F9" w14:paraId="3AC929FE" w14:textId="77777777" w:rsidTr="00D634BA">
        <w:tc>
          <w:tcPr>
            <w:tcW w:w="572" w:type="dxa"/>
            <w:vAlign w:val="center"/>
          </w:tcPr>
          <w:p w14:paraId="53A3DE9C"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6.</w:t>
            </w:r>
          </w:p>
        </w:tc>
        <w:tc>
          <w:tcPr>
            <w:tcW w:w="2736" w:type="dxa"/>
            <w:vAlign w:val="center"/>
          </w:tcPr>
          <w:p w14:paraId="509FDC04"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color w:val="000000"/>
                <w:sz w:val="20"/>
                <w:szCs w:val="20"/>
              </w:rPr>
              <w:t xml:space="preserve">Liczba posiedzeń komitetów, sieci, grup oraz innych spotkań w celu wymiany doświadczeń z partnerami </w:t>
            </w:r>
          </w:p>
        </w:tc>
        <w:tc>
          <w:tcPr>
            <w:tcW w:w="4548" w:type="dxa"/>
          </w:tcPr>
          <w:p w14:paraId="1FC85B06"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Obliczając wartość wskaźnika należy zsumować liczbę zorganizowanych posiedzeń komitetów, sieci tematycznych, grup roboczych oraz innych spotkań ciał angażujących partnerów, które są finansowane z PT danego programu.</w:t>
            </w:r>
          </w:p>
        </w:tc>
        <w:tc>
          <w:tcPr>
            <w:tcW w:w="1206" w:type="dxa"/>
            <w:vAlign w:val="center"/>
          </w:tcPr>
          <w:p w14:paraId="6458B94A" w14:textId="77777777" w:rsidR="00115B39" w:rsidRPr="002245F9" w:rsidRDefault="00115B39" w:rsidP="00D634BA">
            <w:pPr>
              <w:tabs>
                <w:tab w:val="left" w:pos="3900"/>
              </w:tabs>
              <w:rPr>
                <w:rFonts w:cs="Arial"/>
              </w:rPr>
            </w:pPr>
            <w:r w:rsidRPr="002245F9">
              <w:rPr>
                <w:rFonts w:cs="Arial"/>
              </w:rPr>
              <w:t>Sztuka</w:t>
            </w:r>
          </w:p>
        </w:tc>
      </w:tr>
      <w:tr w:rsidR="00115B39" w:rsidRPr="002245F9" w14:paraId="3CCAA2F1" w14:textId="77777777" w:rsidTr="00D634BA">
        <w:tc>
          <w:tcPr>
            <w:tcW w:w="572" w:type="dxa"/>
            <w:vAlign w:val="center"/>
          </w:tcPr>
          <w:p w14:paraId="525CD482"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7.</w:t>
            </w:r>
          </w:p>
        </w:tc>
        <w:tc>
          <w:tcPr>
            <w:tcW w:w="2736" w:type="dxa"/>
            <w:vAlign w:val="center"/>
          </w:tcPr>
          <w:p w14:paraId="4E5153E5"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color w:val="000000"/>
                <w:sz w:val="20"/>
                <w:szCs w:val="20"/>
              </w:rPr>
              <w:t>Liczba punktów informacyjnych na terenie kraju</w:t>
            </w:r>
          </w:p>
        </w:tc>
        <w:tc>
          <w:tcPr>
            <w:tcW w:w="4548" w:type="dxa"/>
          </w:tcPr>
          <w:p w14:paraId="210C5BC6"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Łączna liczba wszystkich punktów informacyjnych funkcjonujących na terenie kraju, które finansowane są w ramach programu Pomoc Techniczna dla Funduszy Europejskich.</w:t>
            </w:r>
          </w:p>
        </w:tc>
        <w:tc>
          <w:tcPr>
            <w:tcW w:w="1206" w:type="dxa"/>
            <w:vAlign w:val="center"/>
          </w:tcPr>
          <w:p w14:paraId="72297DC3"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Sztuka</w:t>
            </w:r>
          </w:p>
        </w:tc>
      </w:tr>
      <w:tr w:rsidR="00115B39" w:rsidRPr="002245F9" w14:paraId="2EA559D8" w14:textId="77777777" w:rsidTr="00D634BA">
        <w:tc>
          <w:tcPr>
            <w:tcW w:w="572" w:type="dxa"/>
            <w:vAlign w:val="center"/>
          </w:tcPr>
          <w:p w14:paraId="44D9D031"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8.</w:t>
            </w:r>
          </w:p>
        </w:tc>
        <w:tc>
          <w:tcPr>
            <w:tcW w:w="2736" w:type="dxa"/>
            <w:vAlign w:val="center"/>
          </w:tcPr>
          <w:p w14:paraId="7314BD11"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color w:val="000000"/>
                <w:sz w:val="20"/>
                <w:szCs w:val="20"/>
              </w:rPr>
              <w:t>Liczba uczestników form szkoleniowych dla beneficjentów</w:t>
            </w:r>
          </w:p>
        </w:tc>
        <w:tc>
          <w:tcPr>
            <w:tcW w:w="4548" w:type="dxa"/>
            <w:vAlign w:val="center"/>
          </w:tcPr>
          <w:p w14:paraId="7DA62A23"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 xml:space="preserve">Obliczając wartość wskaźnika należy zsumować wszystkich uczestników wszystkich form szkoleniowych dla beneficjentów lub potencjalnych beneficjentów (tj. szkoleń, warsztatów, seminariów, kursów, webinariów, itp.) finansowanych z PT. </w:t>
            </w:r>
          </w:p>
          <w:p w14:paraId="6AAB6F62"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Dana osoba powinna zostać policzona tyle razy, w ilu szkoleniach wzięła udział.</w:t>
            </w:r>
          </w:p>
        </w:tc>
        <w:tc>
          <w:tcPr>
            <w:tcW w:w="1206" w:type="dxa"/>
            <w:vAlign w:val="center"/>
          </w:tcPr>
          <w:p w14:paraId="4DDCE761"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Osoba</w:t>
            </w:r>
          </w:p>
        </w:tc>
      </w:tr>
      <w:tr w:rsidR="00115B39" w:rsidRPr="002245F9" w14:paraId="7E0AF5D4" w14:textId="77777777" w:rsidTr="00D634BA">
        <w:tc>
          <w:tcPr>
            <w:tcW w:w="572" w:type="dxa"/>
            <w:vAlign w:val="center"/>
          </w:tcPr>
          <w:p w14:paraId="187472A3"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9.</w:t>
            </w:r>
          </w:p>
        </w:tc>
        <w:tc>
          <w:tcPr>
            <w:tcW w:w="2736" w:type="dxa"/>
            <w:vAlign w:val="center"/>
          </w:tcPr>
          <w:p w14:paraId="465E8F69"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color w:val="000000"/>
                <w:sz w:val="20"/>
                <w:szCs w:val="20"/>
              </w:rPr>
              <w:t>Liczba udzielonych dotacji na realizację projektów wzmacniających potencjał beneficjentów</w:t>
            </w:r>
          </w:p>
        </w:tc>
        <w:tc>
          <w:tcPr>
            <w:tcW w:w="4548" w:type="dxa"/>
          </w:tcPr>
          <w:p w14:paraId="34B091D3"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Obliczając wartość wskaźnika należy zsumować wszystkie dotacje udzielone w celu wsparcia potencjału administracyjnego beneficjentów oraz potencjalnych beneficjentów Funduszy Europejskich.</w:t>
            </w:r>
          </w:p>
        </w:tc>
        <w:tc>
          <w:tcPr>
            <w:tcW w:w="1206" w:type="dxa"/>
            <w:vAlign w:val="center"/>
          </w:tcPr>
          <w:p w14:paraId="74D72DF5"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Sztuka</w:t>
            </w:r>
          </w:p>
        </w:tc>
      </w:tr>
      <w:tr w:rsidR="00115B39" w:rsidRPr="002245F9" w14:paraId="182BA7BF" w14:textId="77777777" w:rsidTr="00D634BA">
        <w:tc>
          <w:tcPr>
            <w:tcW w:w="572" w:type="dxa"/>
            <w:vAlign w:val="center"/>
          </w:tcPr>
          <w:p w14:paraId="0585C087"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10.</w:t>
            </w:r>
          </w:p>
        </w:tc>
        <w:tc>
          <w:tcPr>
            <w:tcW w:w="2736" w:type="dxa"/>
            <w:vAlign w:val="center"/>
          </w:tcPr>
          <w:p w14:paraId="7737ADEB" w14:textId="77777777" w:rsidR="00115B39" w:rsidRPr="007C47BC" w:rsidRDefault="00115B39" w:rsidP="007C47BC">
            <w:pPr>
              <w:tabs>
                <w:tab w:val="left" w:pos="3900"/>
              </w:tabs>
              <w:spacing w:before="120" w:after="120" w:line="360" w:lineRule="auto"/>
              <w:rPr>
                <w:rFonts w:cs="Arial"/>
                <w:color w:val="000000"/>
                <w:sz w:val="20"/>
                <w:szCs w:val="20"/>
              </w:rPr>
            </w:pPr>
            <w:r w:rsidRPr="007C47BC">
              <w:rPr>
                <w:rFonts w:cs="Arial"/>
                <w:sz w:val="20"/>
                <w:szCs w:val="20"/>
              </w:rPr>
              <w:t xml:space="preserve">Liczba projektów objętych wsparciem </w:t>
            </w:r>
          </w:p>
        </w:tc>
        <w:tc>
          <w:tcPr>
            <w:tcW w:w="4548" w:type="dxa"/>
          </w:tcPr>
          <w:p w14:paraId="2E17F706" w14:textId="77777777" w:rsidR="00115B39" w:rsidRPr="007C47BC" w:rsidRDefault="00115B39" w:rsidP="007C47BC">
            <w:pPr>
              <w:tabs>
                <w:tab w:val="left" w:pos="3900"/>
              </w:tabs>
              <w:spacing w:before="120" w:after="120" w:line="360" w:lineRule="auto"/>
              <w:contextualSpacing/>
              <w:rPr>
                <w:rFonts w:cs="Arial"/>
                <w:sz w:val="20"/>
                <w:szCs w:val="20"/>
              </w:rPr>
            </w:pPr>
            <w:r w:rsidRPr="007C47BC">
              <w:rPr>
                <w:rFonts w:cs="Arial"/>
                <w:sz w:val="20"/>
                <w:szCs w:val="20"/>
              </w:rPr>
              <w:t xml:space="preserve">Wartość wskaźnika to liczba projektów wyodrębnionych w ramach poszczególnych programów, które skorzystały ze wsparcia udzielonego z PT w przynajmniej jednym z wymienionych zakresów: </w:t>
            </w:r>
          </w:p>
          <w:p w14:paraId="686C7552" w14:textId="77777777" w:rsidR="00115B39" w:rsidRPr="007C47BC" w:rsidRDefault="00115B39" w:rsidP="007C47BC">
            <w:pPr>
              <w:tabs>
                <w:tab w:val="left" w:pos="3900"/>
              </w:tabs>
              <w:spacing w:before="120" w:after="120" w:line="360" w:lineRule="auto"/>
              <w:contextualSpacing/>
              <w:rPr>
                <w:rFonts w:cs="Arial"/>
                <w:sz w:val="20"/>
                <w:szCs w:val="20"/>
              </w:rPr>
            </w:pPr>
            <w:r w:rsidRPr="007C47BC">
              <w:rPr>
                <w:rFonts w:cs="Arial"/>
                <w:sz w:val="20"/>
                <w:szCs w:val="20"/>
              </w:rPr>
              <w:t xml:space="preserve">- przygotowania dokumentacji, </w:t>
            </w:r>
          </w:p>
          <w:p w14:paraId="23DDCA52" w14:textId="77777777" w:rsidR="00115B39" w:rsidRPr="007C47BC" w:rsidRDefault="00115B39" w:rsidP="007C47BC">
            <w:pPr>
              <w:tabs>
                <w:tab w:val="left" w:pos="3900"/>
              </w:tabs>
              <w:spacing w:before="120" w:after="120" w:line="360" w:lineRule="auto"/>
              <w:contextualSpacing/>
              <w:rPr>
                <w:rFonts w:cs="Arial"/>
                <w:sz w:val="20"/>
                <w:szCs w:val="20"/>
              </w:rPr>
            </w:pPr>
            <w:r w:rsidRPr="007C47BC">
              <w:rPr>
                <w:rFonts w:cs="Arial"/>
                <w:sz w:val="20"/>
                <w:szCs w:val="20"/>
              </w:rPr>
              <w:t xml:space="preserve">- weryfikacji przygotowanej dokumentacji, </w:t>
            </w:r>
          </w:p>
          <w:p w14:paraId="0EA7651D"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 xml:space="preserve">- doradztwo przy poprawie zweryfikowanej dokumentacji. </w:t>
            </w:r>
          </w:p>
          <w:p w14:paraId="46DEBB4A"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Jeden projekt uwzględniany może być w wartości wskaźnika tylko raz, bez względu na to ile razy otrzymał wsparcie.</w:t>
            </w:r>
          </w:p>
        </w:tc>
        <w:tc>
          <w:tcPr>
            <w:tcW w:w="1206" w:type="dxa"/>
            <w:vAlign w:val="center"/>
          </w:tcPr>
          <w:p w14:paraId="69C3D0BC"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Sztuka</w:t>
            </w:r>
          </w:p>
        </w:tc>
      </w:tr>
      <w:tr w:rsidR="00115B39" w:rsidRPr="002245F9" w14:paraId="24A3F24B" w14:textId="77777777" w:rsidTr="00D634BA">
        <w:tc>
          <w:tcPr>
            <w:tcW w:w="572" w:type="dxa"/>
            <w:vAlign w:val="center"/>
          </w:tcPr>
          <w:p w14:paraId="5DCF0FFE"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lastRenderedPageBreak/>
              <w:t>11.</w:t>
            </w:r>
          </w:p>
        </w:tc>
        <w:tc>
          <w:tcPr>
            <w:tcW w:w="2736" w:type="dxa"/>
            <w:vAlign w:val="center"/>
          </w:tcPr>
          <w:p w14:paraId="6BA579A8"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Liczba użytkowników CST2021</w:t>
            </w:r>
          </w:p>
        </w:tc>
        <w:tc>
          <w:tcPr>
            <w:tcW w:w="4548" w:type="dxa"/>
          </w:tcPr>
          <w:p w14:paraId="463921EF" w14:textId="75CDBC50"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 xml:space="preserve">Obliczając wartość wskaźnika należy zsumować liczbę wszystkich użytkowników posiadających uprawnienia do </w:t>
            </w:r>
            <w:r w:rsidR="004D3089">
              <w:rPr>
                <w:rFonts w:cs="Arial"/>
                <w:sz w:val="20"/>
                <w:szCs w:val="20"/>
              </w:rPr>
              <w:t>CST2021</w:t>
            </w:r>
            <w:r w:rsidRPr="007C47BC">
              <w:rPr>
                <w:rFonts w:cs="Arial"/>
                <w:sz w:val="20"/>
                <w:szCs w:val="20"/>
              </w:rPr>
              <w:t xml:space="preserve"> finansowanego ze środków programu Pomoc Techniczna dla Funduszy Europejskich, niezależnie od poziomu tych uprawnień.</w:t>
            </w:r>
          </w:p>
        </w:tc>
        <w:tc>
          <w:tcPr>
            <w:tcW w:w="1206" w:type="dxa"/>
            <w:vAlign w:val="center"/>
          </w:tcPr>
          <w:p w14:paraId="18D7AA10"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Osoba</w:t>
            </w:r>
          </w:p>
        </w:tc>
      </w:tr>
      <w:tr w:rsidR="00115B39" w:rsidRPr="002245F9" w14:paraId="47068CCA" w14:textId="77777777" w:rsidTr="00D634BA">
        <w:tc>
          <w:tcPr>
            <w:tcW w:w="572" w:type="dxa"/>
            <w:vAlign w:val="center"/>
          </w:tcPr>
          <w:p w14:paraId="4092EFDA"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12.</w:t>
            </w:r>
          </w:p>
        </w:tc>
        <w:tc>
          <w:tcPr>
            <w:tcW w:w="2736" w:type="dxa"/>
            <w:vAlign w:val="center"/>
          </w:tcPr>
          <w:p w14:paraId="60085868"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Liczba działań informacyjno-promocyjnych o szerokim zasięgu</w:t>
            </w:r>
          </w:p>
        </w:tc>
        <w:tc>
          <w:tcPr>
            <w:tcW w:w="4548" w:type="dxa"/>
          </w:tcPr>
          <w:p w14:paraId="3B34824C"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Liczba zrealizowanych kampanii informacyjno-promocyjnych o szerokim zasięgu promujących Fundusze Europejskie, tj. skierowanych do minimum 2 grup docelowych (w tym opinii publicznej) i wykorzystujących minimum 4 narzędzia komunikacji, przy czym wszystkie działania w ramach kampanii są spójne i realizowane pod wspólnym komunikatem.</w:t>
            </w:r>
          </w:p>
        </w:tc>
        <w:tc>
          <w:tcPr>
            <w:tcW w:w="1206" w:type="dxa"/>
            <w:vAlign w:val="center"/>
          </w:tcPr>
          <w:p w14:paraId="68776264" w14:textId="77777777" w:rsidR="00115B39" w:rsidRPr="007C47BC" w:rsidRDefault="00115B39" w:rsidP="007C47BC">
            <w:pPr>
              <w:tabs>
                <w:tab w:val="left" w:pos="3900"/>
              </w:tabs>
              <w:spacing w:before="120" w:after="120" w:line="360" w:lineRule="auto"/>
              <w:rPr>
                <w:rFonts w:cs="Arial"/>
                <w:sz w:val="20"/>
                <w:szCs w:val="20"/>
              </w:rPr>
            </w:pPr>
            <w:r w:rsidRPr="007C47BC">
              <w:rPr>
                <w:rFonts w:cs="Arial"/>
                <w:sz w:val="20"/>
                <w:szCs w:val="20"/>
              </w:rPr>
              <w:t>Sztuka</w:t>
            </w:r>
          </w:p>
        </w:tc>
      </w:tr>
    </w:tbl>
    <w:p w14:paraId="615401E4" w14:textId="4E8AA451" w:rsidR="00115B39" w:rsidRPr="00CD4DFB" w:rsidRDefault="00FD695A" w:rsidP="007C47BC">
      <w:pPr>
        <w:pStyle w:val="Nagwek1"/>
      </w:pPr>
      <w:bookmarkStart w:id="218" w:name="_Toc107484915"/>
      <w:bookmarkStart w:id="219" w:name="_Toc107484999"/>
      <w:bookmarkStart w:id="220" w:name="_Toc107485453"/>
      <w:bookmarkStart w:id="221" w:name="_Toc107484916"/>
      <w:bookmarkStart w:id="222" w:name="_Toc107485000"/>
      <w:bookmarkStart w:id="223" w:name="_Toc107485454"/>
      <w:bookmarkStart w:id="224" w:name="_Toc110601973"/>
      <w:bookmarkEnd w:id="218"/>
      <w:bookmarkEnd w:id="219"/>
      <w:bookmarkEnd w:id="220"/>
      <w:bookmarkEnd w:id="221"/>
      <w:bookmarkEnd w:id="222"/>
      <w:bookmarkEnd w:id="223"/>
      <w:r>
        <w:t xml:space="preserve">Rozdział 7. </w:t>
      </w:r>
      <w:bookmarkStart w:id="225" w:name="_Toc109128019"/>
      <w:r w:rsidR="00115B39" w:rsidRPr="00CD4DFB">
        <w:t>Trwałość projektu pomocy technicznej</w:t>
      </w:r>
      <w:bookmarkEnd w:id="224"/>
      <w:bookmarkEnd w:id="225"/>
    </w:p>
    <w:p w14:paraId="6ED95FDE" w14:textId="77777777" w:rsidR="00115B39" w:rsidRPr="00466531" w:rsidRDefault="00115B39" w:rsidP="00115B39">
      <w:pPr>
        <w:numPr>
          <w:ilvl w:val="0"/>
          <w:numId w:val="20"/>
        </w:numPr>
        <w:autoSpaceDE w:val="0"/>
        <w:autoSpaceDN w:val="0"/>
        <w:adjustRightInd w:val="0"/>
        <w:spacing w:before="120" w:after="120" w:line="360" w:lineRule="auto"/>
        <w:ind w:left="357" w:hanging="357"/>
        <w:rPr>
          <w:rFonts w:cs="Arial"/>
          <w:color w:val="000000"/>
        </w:rPr>
      </w:pPr>
      <w:r>
        <w:rPr>
          <w:rFonts w:cs="Arial"/>
          <w:color w:val="000000"/>
        </w:rPr>
        <w:t xml:space="preserve">Wymóg zachowania trwałości projektu </w:t>
      </w:r>
      <w:r w:rsidRPr="00A96D3F">
        <w:rPr>
          <w:rFonts w:cs="Arial"/>
          <w:color w:val="000000"/>
        </w:rPr>
        <w:t>reguluje art. 65 rozporządzenia ogólnego</w:t>
      </w:r>
      <w:r>
        <w:rPr>
          <w:rFonts w:cs="Arial"/>
          <w:color w:val="000000"/>
        </w:rPr>
        <w:t>.</w:t>
      </w:r>
    </w:p>
    <w:p w14:paraId="243FB1E6" w14:textId="49829514" w:rsidR="00115B39" w:rsidRPr="00924E3C" w:rsidRDefault="00115B39" w:rsidP="00115B39">
      <w:pPr>
        <w:numPr>
          <w:ilvl w:val="0"/>
          <w:numId w:val="20"/>
        </w:numPr>
        <w:autoSpaceDE w:val="0"/>
        <w:autoSpaceDN w:val="0"/>
        <w:adjustRightInd w:val="0"/>
        <w:spacing w:before="120" w:after="120" w:line="360" w:lineRule="auto"/>
        <w:ind w:left="357" w:hanging="357"/>
        <w:rPr>
          <w:rFonts w:cs="Arial"/>
          <w:color w:val="000000"/>
        </w:rPr>
      </w:pPr>
      <w:r w:rsidRPr="00263A30">
        <w:t xml:space="preserve"> </w:t>
      </w:r>
      <w:r w:rsidRPr="00924E3C">
        <w:rPr>
          <w:rFonts w:cs="Arial"/>
          <w:color w:val="000000"/>
        </w:rPr>
        <w:t>Obowiązek zachowania trwałości projektu zgodnie z art. 65 rozporządzenia ogólnego dotyczy projektów obejmujących inwestycje w infrastrukturę lub inwestycje produkcyjne</w:t>
      </w:r>
      <w:r w:rsidR="0062102E">
        <w:rPr>
          <w:rFonts w:cs="Arial"/>
          <w:color w:val="000000"/>
        </w:rPr>
        <w:t xml:space="preserve">, </w:t>
      </w:r>
      <w:r w:rsidR="0062102E" w:rsidRPr="00924E3C">
        <w:rPr>
          <w:rFonts w:cs="Arial"/>
          <w:color w:val="000000"/>
        </w:rPr>
        <w:t xml:space="preserve">o </w:t>
      </w:r>
      <w:r w:rsidR="0062102E">
        <w:rPr>
          <w:rFonts w:cs="Arial"/>
          <w:color w:val="000000"/>
        </w:rPr>
        <w:t>których</w:t>
      </w:r>
      <w:r w:rsidR="0062102E" w:rsidRPr="00924E3C">
        <w:rPr>
          <w:rFonts w:cs="Arial"/>
          <w:color w:val="000000"/>
        </w:rPr>
        <w:t xml:space="preserve"> mowa </w:t>
      </w:r>
      <w:r w:rsidR="00006844">
        <w:rPr>
          <w:rFonts w:cs="Arial"/>
          <w:color w:val="000000"/>
        </w:rPr>
        <w:t xml:space="preserve">w wykazie pojęć w </w:t>
      </w:r>
      <w:r w:rsidR="0062102E">
        <w:rPr>
          <w:rFonts w:cs="Arial"/>
          <w:color w:val="000000"/>
        </w:rPr>
        <w:t>Wytycznych dotyczących kwalifikowalności</w:t>
      </w:r>
      <w:r w:rsidRPr="00924E3C">
        <w:rPr>
          <w:rFonts w:cs="Arial"/>
          <w:color w:val="000000"/>
        </w:rPr>
        <w:t xml:space="preserve">. </w:t>
      </w:r>
    </w:p>
    <w:p w14:paraId="238F2CFA" w14:textId="77777777" w:rsidR="00115B39" w:rsidRPr="002245F9" w:rsidRDefault="00115B39" w:rsidP="00115B39">
      <w:pPr>
        <w:numPr>
          <w:ilvl w:val="0"/>
          <w:numId w:val="20"/>
        </w:numPr>
        <w:autoSpaceDE w:val="0"/>
        <w:autoSpaceDN w:val="0"/>
        <w:adjustRightInd w:val="0"/>
        <w:spacing w:before="120" w:after="120" w:line="360" w:lineRule="auto"/>
        <w:ind w:left="357" w:hanging="357"/>
        <w:rPr>
          <w:rFonts w:cs="Arial"/>
          <w:color w:val="000000"/>
        </w:rPr>
      </w:pPr>
      <w:r>
        <w:rPr>
          <w:rFonts w:cs="Arial"/>
          <w:color w:val="000000"/>
        </w:rPr>
        <w:t>Z uwagi na specyfikę projektów realizowanych w ramach pomocy technicznej oraz brak działań określonych w pkt 2 badanie zachowania trwałości zrealizowanych projektów nie będzie wymagane.</w:t>
      </w:r>
    </w:p>
    <w:p w14:paraId="46BD4517" w14:textId="55CA77DA" w:rsidR="00115B39" w:rsidRPr="00B90BF1" w:rsidRDefault="00FD695A" w:rsidP="007C47BC">
      <w:pPr>
        <w:pStyle w:val="Nagwek1"/>
      </w:pPr>
      <w:bookmarkStart w:id="226" w:name="_Toc96638487"/>
      <w:bookmarkStart w:id="227" w:name="_Toc96639320"/>
      <w:bookmarkStart w:id="228" w:name="_Toc96639394"/>
      <w:bookmarkStart w:id="229" w:name="_Toc96638488"/>
      <w:bookmarkStart w:id="230" w:name="_Toc96639321"/>
      <w:bookmarkStart w:id="231" w:name="_Toc96639395"/>
      <w:bookmarkStart w:id="232" w:name="_Toc95118838"/>
      <w:bookmarkStart w:id="233" w:name="_Toc410647884"/>
      <w:bookmarkStart w:id="234" w:name="_Toc410828470"/>
      <w:bookmarkStart w:id="235" w:name="_Toc88552882"/>
      <w:bookmarkStart w:id="236" w:name="_Toc88553249"/>
      <w:bookmarkStart w:id="237" w:name="_Toc88553307"/>
      <w:bookmarkStart w:id="238" w:name="_Toc95118928"/>
      <w:bookmarkStart w:id="239" w:name="_Toc109128020"/>
      <w:bookmarkStart w:id="240" w:name="_Toc110601974"/>
      <w:bookmarkStart w:id="241" w:name="_Toc88553308"/>
      <w:bookmarkStart w:id="242" w:name="_Toc95118929"/>
      <w:bookmarkEnd w:id="226"/>
      <w:bookmarkEnd w:id="227"/>
      <w:bookmarkEnd w:id="228"/>
      <w:bookmarkEnd w:id="229"/>
      <w:bookmarkEnd w:id="230"/>
      <w:bookmarkEnd w:id="231"/>
      <w:bookmarkEnd w:id="232"/>
      <w:bookmarkEnd w:id="233"/>
      <w:bookmarkEnd w:id="234"/>
      <w:bookmarkEnd w:id="235"/>
      <w:bookmarkEnd w:id="236"/>
      <w:bookmarkEnd w:id="237"/>
      <w:bookmarkEnd w:id="238"/>
      <w:r>
        <w:t xml:space="preserve">Rozdział 8. </w:t>
      </w:r>
      <w:r w:rsidR="00115B39" w:rsidRPr="00B90BF1">
        <w:t>Koordynacja pomocy technicznej</w:t>
      </w:r>
      <w:bookmarkEnd w:id="239"/>
      <w:bookmarkEnd w:id="240"/>
    </w:p>
    <w:p w14:paraId="66106E20" w14:textId="77777777" w:rsidR="00115B39" w:rsidRPr="002245F9" w:rsidRDefault="00115B39" w:rsidP="00115B39">
      <w:pPr>
        <w:pStyle w:val="Akapitzlist"/>
        <w:numPr>
          <w:ilvl w:val="0"/>
          <w:numId w:val="16"/>
        </w:numPr>
        <w:spacing w:before="120" w:after="120" w:line="360" w:lineRule="auto"/>
        <w:ind w:left="357" w:hanging="357"/>
        <w:contextualSpacing w:val="0"/>
        <w:rPr>
          <w:rFonts w:cs="Arial"/>
        </w:rPr>
      </w:pPr>
      <w:r w:rsidRPr="002245F9">
        <w:rPr>
          <w:rFonts w:cs="Arial"/>
        </w:rPr>
        <w:t xml:space="preserve">Minister właściwy do spraw rozwoju regionalnego pełni rolę instytucji koordynującej (IK PT) dla działań realizowanych w PT FE oraz priorytetach pomocy technicznej w pozostałych </w:t>
      </w:r>
      <w:r>
        <w:rPr>
          <w:rFonts w:cs="Arial"/>
        </w:rPr>
        <w:t>krajowych i regionalnych programach</w:t>
      </w:r>
      <w:r w:rsidRPr="002245F9">
        <w:rPr>
          <w:rFonts w:cs="Arial"/>
        </w:rPr>
        <w:t>.</w:t>
      </w:r>
    </w:p>
    <w:p w14:paraId="1F5DBB9C" w14:textId="77777777" w:rsidR="00115B39" w:rsidRPr="002245F9" w:rsidRDefault="00115B39" w:rsidP="00115B39">
      <w:pPr>
        <w:pStyle w:val="Akapitzlist"/>
        <w:numPr>
          <w:ilvl w:val="0"/>
          <w:numId w:val="16"/>
        </w:numPr>
        <w:spacing w:before="120" w:after="120" w:line="360" w:lineRule="auto"/>
        <w:ind w:left="357" w:hanging="357"/>
        <w:contextualSpacing w:val="0"/>
        <w:rPr>
          <w:rFonts w:cs="Arial"/>
        </w:rPr>
      </w:pPr>
      <w:r w:rsidRPr="002245F9">
        <w:rPr>
          <w:rFonts w:cs="Arial"/>
        </w:rPr>
        <w:t xml:space="preserve">IK PT organizuje działanie GS PT, której zadaniem jest zapewnienie koordynacji wsparcia wdrażania polityki spójności w </w:t>
      </w:r>
      <w:r>
        <w:rPr>
          <w:rFonts w:cs="Arial"/>
        </w:rPr>
        <w:t>krajowych i regionalnych</w:t>
      </w:r>
      <w:r w:rsidRPr="002245F9">
        <w:rPr>
          <w:rFonts w:cs="Arial"/>
        </w:rPr>
        <w:t xml:space="preserve"> </w:t>
      </w:r>
      <w:r>
        <w:rPr>
          <w:rFonts w:cs="Arial"/>
        </w:rPr>
        <w:t xml:space="preserve">programach </w:t>
      </w:r>
      <w:r w:rsidRPr="002245F9">
        <w:rPr>
          <w:rFonts w:cs="Arial"/>
        </w:rPr>
        <w:t xml:space="preserve">na obszarze całego kraju. GS PT będzie stanowiła również forum wymiany </w:t>
      </w:r>
      <w:r w:rsidRPr="002245F9">
        <w:rPr>
          <w:rFonts w:cs="Arial"/>
        </w:rPr>
        <w:lastRenderedPageBreak/>
        <w:t>doświadczeń. W pracach grupy będą brały udział w szczególności IZ, instytucje do spraw koordynacji wdrożeniowej oraz strategicznej UP.</w:t>
      </w:r>
    </w:p>
    <w:p w14:paraId="69F31E6B" w14:textId="77777777" w:rsidR="00115B39" w:rsidRPr="002245F9" w:rsidRDefault="00115B39" w:rsidP="00115B39">
      <w:pPr>
        <w:pStyle w:val="Akapitzlist"/>
        <w:numPr>
          <w:ilvl w:val="0"/>
          <w:numId w:val="16"/>
        </w:numPr>
        <w:spacing w:before="120" w:after="120" w:line="360" w:lineRule="auto"/>
        <w:ind w:left="357" w:hanging="357"/>
        <w:contextualSpacing w:val="0"/>
        <w:rPr>
          <w:rFonts w:cs="Arial"/>
        </w:rPr>
      </w:pPr>
      <w:r w:rsidRPr="002245F9">
        <w:rPr>
          <w:rFonts w:cs="Arial"/>
        </w:rPr>
        <w:t xml:space="preserve">Typy działań finansowane w ramach projektów PT FE oraz komponentów pomocy technicznej w pozostałych </w:t>
      </w:r>
      <w:r>
        <w:rPr>
          <w:rFonts w:cs="Arial"/>
        </w:rPr>
        <w:t>krajowych programach</w:t>
      </w:r>
      <w:r w:rsidRPr="002245F9">
        <w:rPr>
          <w:rFonts w:cs="Arial"/>
        </w:rPr>
        <w:t>, muszą być zgodne z linią demarkacyjną, która stanowi Załącznik nr 2 do niniejszych Wytycznych.</w:t>
      </w:r>
    </w:p>
    <w:p w14:paraId="2EE2EB67" w14:textId="1BCA5602" w:rsidR="00115B39" w:rsidRPr="00B90BF1" w:rsidRDefault="005F6922" w:rsidP="007C47BC">
      <w:pPr>
        <w:pStyle w:val="Nagwek1"/>
      </w:pPr>
      <w:bookmarkStart w:id="243" w:name="_Toc109128021"/>
      <w:bookmarkStart w:id="244" w:name="_Toc110601975"/>
      <w:bookmarkEnd w:id="241"/>
      <w:bookmarkEnd w:id="242"/>
      <w:r>
        <w:t xml:space="preserve">Rozdział 9. </w:t>
      </w:r>
      <w:r w:rsidR="00115B39" w:rsidRPr="00B90BF1">
        <w:t>Sposoby rozliczania wydatków</w:t>
      </w:r>
      <w:bookmarkEnd w:id="243"/>
      <w:bookmarkEnd w:id="244"/>
    </w:p>
    <w:p w14:paraId="526DA3E9" w14:textId="7A3C7722" w:rsidR="00115B39" w:rsidRPr="00185012" w:rsidRDefault="00115B39" w:rsidP="00C57D65">
      <w:pPr>
        <w:pStyle w:val="Nagwek2"/>
      </w:pPr>
      <w:bookmarkStart w:id="245" w:name="_Toc88553309"/>
      <w:bookmarkStart w:id="246" w:name="_Toc95118930"/>
      <w:bookmarkStart w:id="247" w:name="_Toc109128022"/>
      <w:bookmarkStart w:id="248" w:name="_Toc110601976"/>
      <w:r w:rsidRPr="00185012">
        <w:t>Podrozdział 9.1 Ogólne zasady rozliczania wydatków</w:t>
      </w:r>
      <w:bookmarkEnd w:id="245"/>
      <w:bookmarkEnd w:id="246"/>
      <w:bookmarkEnd w:id="247"/>
      <w:bookmarkEnd w:id="248"/>
    </w:p>
    <w:p w14:paraId="53360526" w14:textId="7B29EFB1" w:rsidR="00115B39" w:rsidRPr="002245F9" w:rsidRDefault="00115B39" w:rsidP="00115B39">
      <w:pPr>
        <w:pStyle w:val="Akapitzlist"/>
        <w:numPr>
          <w:ilvl w:val="0"/>
          <w:numId w:val="27"/>
        </w:numPr>
        <w:spacing w:before="120" w:after="120" w:line="360" w:lineRule="auto"/>
        <w:ind w:left="357" w:hanging="357"/>
        <w:rPr>
          <w:rFonts w:cs="Arial"/>
        </w:rPr>
      </w:pPr>
      <w:r w:rsidRPr="002245F9">
        <w:rPr>
          <w:rFonts w:cs="Arial"/>
        </w:rPr>
        <w:t>Każda IZ określa sposób rozliczania wydatków (</w:t>
      </w:r>
      <w:r>
        <w:rPr>
          <w:rFonts w:cs="Arial"/>
        </w:rPr>
        <w:t>publikuje</w:t>
      </w:r>
      <w:r w:rsidRPr="002245F9">
        <w:rPr>
          <w:rFonts w:cs="Arial"/>
        </w:rPr>
        <w:t xml:space="preserve"> i ogł</w:t>
      </w:r>
      <w:r>
        <w:rPr>
          <w:rFonts w:cs="Arial"/>
        </w:rPr>
        <w:t>asza</w:t>
      </w:r>
      <w:r w:rsidRPr="002245F9">
        <w:rPr>
          <w:rFonts w:cs="Arial"/>
        </w:rPr>
        <w:t xml:space="preserve"> wszystkim beneficjentom najpóźniej w momencie rozpoczęcia naboru). W</w:t>
      </w:r>
      <w:r>
        <w:rPr>
          <w:rFonts w:cs="Arial"/>
        </w:rPr>
        <w:t> </w:t>
      </w:r>
      <w:r w:rsidRPr="002245F9">
        <w:rPr>
          <w:rFonts w:cs="Arial"/>
        </w:rPr>
        <w:t>przypadku wprowadzenia uproszczonych metod rozliczania wydatków, obowiązują zasady określone w tym zakresie przez IZ, z zastrzeżeniem zasad określonych w</w:t>
      </w:r>
      <w:r>
        <w:rPr>
          <w:rFonts w:cs="Arial"/>
        </w:rPr>
        <w:t> </w:t>
      </w:r>
      <w:r w:rsidRPr="002245F9">
        <w:rPr>
          <w:rFonts w:cs="Arial"/>
        </w:rPr>
        <w:t xml:space="preserve">podrozdziale 9.3 oraz z zastrzeżeniem, że nie jest dopuszczalne zawężenie wykazu wydatków niekwalifikowalnych określonych w </w:t>
      </w:r>
      <w:r>
        <w:rPr>
          <w:rFonts w:cs="Arial"/>
        </w:rPr>
        <w:t xml:space="preserve">sekcji </w:t>
      </w:r>
      <w:r w:rsidRPr="002245F9">
        <w:rPr>
          <w:rFonts w:cs="Arial"/>
        </w:rPr>
        <w:t>9.1.1.</w:t>
      </w:r>
    </w:p>
    <w:p w14:paraId="7BEB2622" w14:textId="74FF43E1" w:rsidR="00115B39" w:rsidRPr="004947A2" w:rsidRDefault="00115B39" w:rsidP="007C47BC">
      <w:pPr>
        <w:numPr>
          <w:ilvl w:val="0"/>
          <w:numId w:val="27"/>
        </w:numPr>
        <w:autoSpaceDE w:val="0"/>
        <w:autoSpaceDN w:val="0"/>
        <w:adjustRightInd w:val="0"/>
        <w:spacing w:before="120" w:line="360" w:lineRule="auto"/>
        <w:ind w:left="357" w:hanging="357"/>
      </w:pPr>
      <w:r w:rsidRPr="002245F9">
        <w:rPr>
          <w:rFonts w:cs="Arial"/>
        </w:rPr>
        <w:t xml:space="preserve">Warunki opisane w niniejszym rozdziale stanowią uszczegółowienie Wytycznych </w:t>
      </w:r>
      <w:r w:rsidR="006C1A37">
        <w:rPr>
          <w:rFonts w:cs="Arial"/>
        </w:rPr>
        <w:t>dotyczących</w:t>
      </w:r>
      <w:r w:rsidRPr="002245F9">
        <w:rPr>
          <w:rFonts w:cs="Arial"/>
        </w:rPr>
        <w:t xml:space="preserve"> kwalifikowalności.</w:t>
      </w:r>
      <w:r w:rsidRPr="002245F9">
        <w:rPr>
          <w:rFonts w:cs="Arial"/>
          <w:i/>
        </w:rPr>
        <w:t xml:space="preserve"> </w:t>
      </w:r>
      <w:r w:rsidRPr="002245F9">
        <w:rPr>
          <w:rFonts w:cs="Arial"/>
        </w:rPr>
        <w:t xml:space="preserve">W odniesieniu do zagadnień, które nie są określone w Wytycznych, należy stosować bezpośrednio </w:t>
      </w:r>
      <w:r w:rsidR="00FD695A">
        <w:rPr>
          <w:rFonts w:cs="Arial"/>
        </w:rPr>
        <w:t>postanowienia</w:t>
      </w:r>
      <w:r w:rsidR="00FD695A" w:rsidRPr="002245F9">
        <w:rPr>
          <w:rFonts w:cs="Arial"/>
        </w:rPr>
        <w:t xml:space="preserve"> </w:t>
      </w:r>
      <w:r w:rsidRPr="002245F9">
        <w:rPr>
          <w:rFonts w:cs="Arial"/>
        </w:rPr>
        <w:t>Wytycznych w zakresie kwalifikowalności</w:t>
      </w:r>
      <w:r w:rsidRPr="004947A2">
        <w:rPr>
          <w:rFonts w:cs="Arial"/>
        </w:rPr>
        <w:t>.</w:t>
      </w:r>
    </w:p>
    <w:p w14:paraId="0722D45A" w14:textId="77777777" w:rsidR="00115B39" w:rsidRPr="004947A2" w:rsidRDefault="00115B39" w:rsidP="00115B39">
      <w:pPr>
        <w:pStyle w:val="Akapitzlist"/>
        <w:numPr>
          <w:ilvl w:val="0"/>
          <w:numId w:val="27"/>
        </w:numPr>
        <w:spacing w:before="120" w:after="120" w:line="360" w:lineRule="auto"/>
        <w:ind w:left="357" w:hanging="357"/>
        <w:contextualSpacing w:val="0"/>
        <w:rPr>
          <w:rFonts w:cs="Arial"/>
        </w:rPr>
      </w:pPr>
      <w:r w:rsidRPr="004947A2">
        <w:rPr>
          <w:rFonts w:cs="Arial"/>
          <w:spacing w:val="4"/>
          <w:lang w:eastAsia="ar-SA"/>
        </w:rPr>
        <w:t>Wydatkowanie środków pomocy technicznej powinno odbywać się zgodnie z zachowaniem zasad: legalności, rzetelności, gospodarności i celowości, a</w:t>
      </w:r>
      <w:r>
        <w:rPr>
          <w:rFonts w:cs="Arial"/>
          <w:spacing w:val="4"/>
          <w:lang w:eastAsia="ar-SA"/>
        </w:rPr>
        <w:t> </w:t>
      </w:r>
      <w:r w:rsidRPr="004947A2">
        <w:rPr>
          <w:rFonts w:cs="Arial"/>
          <w:spacing w:val="4"/>
          <w:lang w:eastAsia="ar-SA"/>
        </w:rPr>
        <w:t>ponadto z zachowaniem wysokiej jakości realizowanych działań, użyteczności, efektywności oraz przejrzystości działania.</w:t>
      </w:r>
    </w:p>
    <w:p w14:paraId="5E3926AF" w14:textId="77777777" w:rsidR="00115B39" w:rsidRPr="002245F9" w:rsidRDefault="00115B39" w:rsidP="00115B39">
      <w:pPr>
        <w:pStyle w:val="Default"/>
        <w:numPr>
          <w:ilvl w:val="0"/>
          <w:numId w:val="27"/>
        </w:numPr>
        <w:ind w:left="357" w:hanging="357"/>
        <w:rPr>
          <w:rFonts w:ascii="Arial" w:hAnsi="Arial" w:cs="Arial"/>
        </w:rPr>
      </w:pPr>
      <w:r w:rsidRPr="002245F9">
        <w:rPr>
          <w:rFonts w:ascii="Arial" w:eastAsia="Times New Roman" w:hAnsi="Arial" w:cs="Arial"/>
          <w:color w:val="auto"/>
          <w:lang w:eastAsia="pl-PL"/>
        </w:rPr>
        <w:t xml:space="preserve">Wydatki finansowane ze środków pomocy technicznej powinny bezpośrednio wiązać się z </w:t>
      </w:r>
      <w:r>
        <w:rPr>
          <w:rFonts w:ascii="Arial" w:eastAsia="Times New Roman" w:hAnsi="Arial" w:cs="Arial"/>
          <w:color w:val="auto"/>
          <w:lang w:eastAsia="pl-PL"/>
        </w:rPr>
        <w:t>działaniami</w:t>
      </w:r>
      <w:r w:rsidRPr="002245F9">
        <w:rPr>
          <w:rFonts w:ascii="Arial" w:eastAsia="Times New Roman" w:hAnsi="Arial" w:cs="Arial"/>
          <w:color w:val="auto"/>
          <w:lang w:eastAsia="pl-PL"/>
        </w:rPr>
        <w:t xml:space="preserve"> wskazanymi w </w:t>
      </w:r>
      <w:r>
        <w:rPr>
          <w:rFonts w:ascii="Arial" w:eastAsia="Times New Roman" w:hAnsi="Arial" w:cs="Arial"/>
          <w:color w:val="auto"/>
          <w:lang w:eastAsia="pl-PL"/>
        </w:rPr>
        <w:t xml:space="preserve">rozdziale 2 </w:t>
      </w:r>
      <w:r w:rsidRPr="002245F9">
        <w:rPr>
          <w:rFonts w:ascii="Arial" w:eastAsia="Times New Roman" w:hAnsi="Arial" w:cs="Arial"/>
          <w:color w:val="auto"/>
          <w:lang w:eastAsia="pl-PL"/>
        </w:rPr>
        <w:t xml:space="preserve">pkt 1 </w:t>
      </w:r>
      <w:r>
        <w:rPr>
          <w:rFonts w:ascii="Arial" w:eastAsia="Times New Roman" w:hAnsi="Arial" w:cs="Arial"/>
          <w:color w:val="auto"/>
          <w:lang w:eastAsia="pl-PL"/>
        </w:rPr>
        <w:t xml:space="preserve">i 2 </w:t>
      </w:r>
      <w:r w:rsidRPr="002245F9">
        <w:rPr>
          <w:rFonts w:ascii="Arial" w:eastAsia="Times New Roman" w:hAnsi="Arial" w:cs="Arial"/>
          <w:color w:val="auto"/>
          <w:lang w:eastAsia="pl-PL"/>
        </w:rPr>
        <w:t>Wytycznych.</w:t>
      </w:r>
    </w:p>
    <w:p w14:paraId="518DE4EF" w14:textId="77777777" w:rsidR="00115B39" w:rsidRPr="002245F9" w:rsidRDefault="00115B39" w:rsidP="00115B39">
      <w:pPr>
        <w:pStyle w:val="Default"/>
        <w:numPr>
          <w:ilvl w:val="0"/>
          <w:numId w:val="27"/>
        </w:numPr>
        <w:ind w:left="357" w:hanging="357"/>
        <w:rPr>
          <w:rFonts w:ascii="Arial" w:hAnsi="Arial" w:cs="Arial"/>
        </w:rPr>
      </w:pPr>
      <w:r w:rsidRPr="002245F9">
        <w:rPr>
          <w:rFonts w:ascii="Arial" w:hAnsi="Arial" w:cs="Arial"/>
        </w:rPr>
        <w:t xml:space="preserve">Koszty poniesione w związku z wydarzeniami, które ostatecznie nie doszły do skutku (np. odwołane podróże służbowe, niezrealizowane szkolenia indywidualne) stanowią wydatek niekwalifikowalny w ramach projektów pomocy technicznej, za wyjątkiem sytuacji, w której przyczyną ich niezrealizowania było </w:t>
      </w:r>
      <w:r w:rsidRPr="002245F9">
        <w:rPr>
          <w:rFonts w:ascii="Arial" w:hAnsi="Arial" w:cs="Arial"/>
        </w:rPr>
        <w:lastRenderedPageBreak/>
        <w:t>działanie siły wyższej</w:t>
      </w:r>
      <w:r w:rsidRPr="002245F9">
        <w:rPr>
          <w:rStyle w:val="Odwoanieprzypisudolnego"/>
          <w:rFonts w:ascii="Arial" w:hAnsi="Arial"/>
        </w:rPr>
        <w:footnoteReference w:id="10"/>
      </w:r>
      <w:r w:rsidRPr="002245F9">
        <w:rPr>
          <w:rFonts w:ascii="Arial" w:hAnsi="Arial" w:cs="Arial"/>
        </w:rPr>
        <w:t>. Rozliczenie takich wydatków jest możliwe wyłącznie za zgodą właściwej instytucji, po indywidualnej analizie przypadku.</w:t>
      </w:r>
    </w:p>
    <w:p w14:paraId="4B948B1A" w14:textId="77777777" w:rsidR="00115B39" w:rsidRPr="004B154F" w:rsidRDefault="00115B39" w:rsidP="00115B39">
      <w:pPr>
        <w:pStyle w:val="Akapitzlist"/>
        <w:numPr>
          <w:ilvl w:val="0"/>
          <w:numId w:val="27"/>
        </w:numPr>
        <w:spacing w:before="120" w:after="120" w:line="360" w:lineRule="auto"/>
        <w:ind w:left="357" w:hanging="357"/>
        <w:rPr>
          <w:rFonts w:cs="Arial"/>
          <w:color w:val="000000"/>
        </w:rPr>
      </w:pPr>
      <w:r w:rsidRPr="004B154F">
        <w:rPr>
          <w:rFonts w:cs="Arial"/>
          <w:color w:val="000000"/>
        </w:rPr>
        <w:t xml:space="preserve">Możliwe jest uznanie za kwalifikowalne wydatków poniesionych po okresie kwalifikowalności wydatków określonym w umowie/decyzji o dofinansowaniu pod warunkiem, że wydatki te zostały poniesione w związku z realizacją projektu, zostaną uwzględnione we wniosku o płatność końcową oraz spełniają pozostałe warunki kwalifikowalności. </w:t>
      </w:r>
    </w:p>
    <w:p w14:paraId="1CA93BF7" w14:textId="7FDC118F" w:rsidR="00115B39" w:rsidRPr="002245F9" w:rsidRDefault="00115B39" w:rsidP="00115B39">
      <w:pPr>
        <w:pStyle w:val="Default"/>
        <w:numPr>
          <w:ilvl w:val="0"/>
          <w:numId w:val="27"/>
        </w:numPr>
        <w:ind w:left="357" w:hanging="357"/>
        <w:rPr>
          <w:rFonts w:ascii="Arial" w:eastAsia="Times New Roman" w:hAnsi="Arial" w:cs="Arial"/>
          <w:spacing w:val="4"/>
          <w:lang w:eastAsia="ar-SA"/>
        </w:rPr>
      </w:pPr>
      <w:r w:rsidRPr="002245F9">
        <w:rPr>
          <w:rFonts w:ascii="Arial" w:eastAsia="Times New Roman" w:hAnsi="Arial" w:cs="Arial"/>
          <w:color w:val="auto"/>
          <w:spacing w:val="4"/>
          <w:lang w:eastAsia="ar-SA"/>
        </w:rPr>
        <w:t xml:space="preserve">Ostateczną decyzję w sprawie kwalifikowalności poszczególnych wydatków podejmuje </w:t>
      </w:r>
      <w:r w:rsidRPr="00C254F9">
        <w:rPr>
          <w:rFonts w:ascii="Arial" w:eastAsia="Times New Roman" w:hAnsi="Arial" w:cs="Arial"/>
          <w:color w:val="auto"/>
          <w:spacing w:val="4"/>
          <w:lang w:eastAsia="ar-SA"/>
        </w:rPr>
        <w:t>właściwa instytucja</w:t>
      </w:r>
      <w:r w:rsidRPr="002245F9">
        <w:rPr>
          <w:rFonts w:ascii="Arial" w:eastAsia="Times New Roman" w:hAnsi="Arial" w:cs="Arial"/>
          <w:color w:val="auto"/>
          <w:spacing w:val="4"/>
          <w:lang w:eastAsia="ar-SA"/>
        </w:rPr>
        <w:t xml:space="preserve"> z zastrzeżeniem, że wykaz wydatków niekwalifikowalnych opisany w Wytycznych nie może zostać zawężony.</w:t>
      </w:r>
    </w:p>
    <w:p w14:paraId="236E2C34" w14:textId="77777777" w:rsidR="00115B39" w:rsidRPr="002245F9" w:rsidRDefault="00115B39" w:rsidP="00115B39">
      <w:pPr>
        <w:pStyle w:val="Akapitzlist"/>
        <w:numPr>
          <w:ilvl w:val="0"/>
          <w:numId w:val="27"/>
        </w:numPr>
        <w:spacing w:before="120" w:after="120" w:line="360" w:lineRule="auto"/>
        <w:ind w:left="357" w:hanging="357"/>
        <w:rPr>
          <w:rFonts w:cs="Arial"/>
        </w:rPr>
      </w:pPr>
      <w:r w:rsidRPr="002245F9">
        <w:rPr>
          <w:rFonts w:cs="Arial"/>
        </w:rPr>
        <w:t>Możliwe jest uzyskanie częściowego dofinansowania na ten sam wydatek z</w:t>
      </w:r>
      <w:r>
        <w:rPr>
          <w:rFonts w:cs="Arial"/>
        </w:rPr>
        <w:t> </w:t>
      </w:r>
      <w:r w:rsidRPr="002245F9">
        <w:rPr>
          <w:rFonts w:cs="Arial"/>
        </w:rPr>
        <w:t>różnych źródeł. W takiej sytuacji wsparcie musi zostać obliczone proporcjonalnie, zgodnie z dokumentem określającym warunki dofinansowania (umową o dofinansowanie projektu/decyzją o dofinansowaniu projektu).</w:t>
      </w:r>
    </w:p>
    <w:p w14:paraId="54A28694" w14:textId="77777777" w:rsidR="00115B39" w:rsidRPr="00A85D73" w:rsidRDefault="00115B39" w:rsidP="00115B39">
      <w:pPr>
        <w:pStyle w:val="Default"/>
        <w:numPr>
          <w:ilvl w:val="0"/>
          <w:numId w:val="27"/>
        </w:numPr>
        <w:ind w:left="357" w:hanging="357"/>
        <w:rPr>
          <w:rFonts w:ascii="Arial" w:eastAsia="Times New Roman" w:hAnsi="Arial" w:cs="Arial"/>
          <w:spacing w:val="4"/>
          <w:lang w:eastAsia="ar-SA"/>
        </w:rPr>
      </w:pPr>
      <w:r w:rsidRPr="002245F9">
        <w:rPr>
          <w:rFonts w:ascii="Arial" w:eastAsia="Times New Roman" w:hAnsi="Arial" w:cs="Arial"/>
          <w:spacing w:val="4"/>
          <w:lang w:eastAsia="ar-SA"/>
        </w:rPr>
        <w:t xml:space="preserve">Wydatek (albo ta sama jego część) nie może zostać przedstawiony do </w:t>
      </w:r>
      <w:r w:rsidRPr="00A85D73">
        <w:rPr>
          <w:rFonts w:ascii="Arial" w:eastAsia="Times New Roman" w:hAnsi="Arial" w:cs="Arial"/>
          <w:spacing w:val="4"/>
          <w:lang w:eastAsia="ar-SA"/>
        </w:rPr>
        <w:t>wsparcia ze środków w ramach jednego lub kilku programów więcej niż jeden raz. Kwota rozliczenia wydatku ze wszystkich źródeł finansowania nie może przekraczać całkowitej kwoty wydatków kwalifikowalnych.</w:t>
      </w:r>
    </w:p>
    <w:p w14:paraId="7A11C4BD" w14:textId="2EECF05F" w:rsidR="00115B39" w:rsidRPr="00E6197D" w:rsidRDefault="00115B39" w:rsidP="00115B39">
      <w:pPr>
        <w:pStyle w:val="Default"/>
        <w:numPr>
          <w:ilvl w:val="0"/>
          <w:numId w:val="27"/>
        </w:numPr>
        <w:ind w:left="357" w:hanging="357"/>
        <w:rPr>
          <w:rFonts w:ascii="Arial" w:hAnsi="Arial" w:cs="Arial"/>
          <w:b/>
          <w:bCs/>
        </w:rPr>
      </w:pPr>
      <w:r w:rsidRPr="00E6197D">
        <w:rPr>
          <w:rFonts w:ascii="Arial" w:hAnsi="Arial" w:cs="Arial"/>
        </w:rPr>
        <w:t xml:space="preserve">W przypadku wydatków </w:t>
      </w:r>
      <w:r w:rsidRPr="003029D5">
        <w:rPr>
          <w:rFonts w:ascii="Arial" w:hAnsi="Arial" w:cs="Arial"/>
        </w:rPr>
        <w:t xml:space="preserve">finansowanych z kilku programów, gdzie w jednym </w:t>
      </w:r>
      <w:r w:rsidR="00B9669F" w:rsidRPr="003029D5">
        <w:rPr>
          <w:rFonts w:ascii="Arial" w:hAnsi="Arial" w:cs="Arial"/>
        </w:rPr>
        <w:t>z</w:t>
      </w:r>
      <w:r w:rsidR="00B9669F">
        <w:rPr>
          <w:rFonts w:ascii="Arial" w:hAnsi="Arial" w:cs="Arial"/>
        </w:rPr>
        <w:t> </w:t>
      </w:r>
      <w:r w:rsidRPr="003029D5">
        <w:rPr>
          <w:rFonts w:ascii="Arial" w:hAnsi="Arial" w:cs="Arial"/>
        </w:rPr>
        <w:t xml:space="preserve">programów </w:t>
      </w:r>
      <w:r w:rsidR="00AC176B" w:rsidRPr="003029D5">
        <w:rPr>
          <w:rFonts w:ascii="Arial" w:hAnsi="Arial" w:cs="Arial"/>
        </w:rPr>
        <w:t>do rozliczania danego wydatku</w:t>
      </w:r>
      <w:r w:rsidR="00AC176B">
        <w:rPr>
          <w:rFonts w:ascii="Arial" w:hAnsi="Arial" w:cs="Arial"/>
        </w:rPr>
        <w:t xml:space="preserve"> </w:t>
      </w:r>
      <w:r w:rsidRPr="003029D5">
        <w:rPr>
          <w:rFonts w:ascii="Arial" w:hAnsi="Arial" w:cs="Arial"/>
        </w:rPr>
        <w:t>zastosowano</w:t>
      </w:r>
      <w:r w:rsidR="00AC176B">
        <w:rPr>
          <w:rFonts w:ascii="Arial" w:hAnsi="Arial" w:cs="Arial"/>
        </w:rPr>
        <w:t xml:space="preserve"> </w:t>
      </w:r>
      <w:r w:rsidR="009314AB" w:rsidRPr="007C47BC">
        <w:rPr>
          <w:rFonts w:ascii="Arial" w:hAnsi="Arial" w:cs="Arial"/>
        </w:rPr>
        <w:t>metodę uproszczoną rozlicz</w:t>
      </w:r>
      <w:r w:rsidR="00C77FCB">
        <w:rPr>
          <w:rFonts w:ascii="Arial" w:hAnsi="Arial" w:cs="Arial"/>
        </w:rPr>
        <w:t>ania</w:t>
      </w:r>
      <w:r w:rsidRPr="009314AB">
        <w:rPr>
          <w:rFonts w:ascii="Arial" w:hAnsi="Arial" w:cs="Arial"/>
        </w:rPr>
        <w:t>,</w:t>
      </w:r>
      <w:r w:rsidRPr="003029D5">
        <w:rPr>
          <w:rFonts w:ascii="Arial" w:hAnsi="Arial" w:cs="Arial"/>
        </w:rPr>
        <w:t xml:space="preserve"> </w:t>
      </w:r>
      <w:r w:rsidR="00B9669F" w:rsidRPr="003029D5">
        <w:rPr>
          <w:rFonts w:ascii="Arial" w:hAnsi="Arial" w:cs="Arial"/>
        </w:rPr>
        <w:t>w</w:t>
      </w:r>
      <w:r w:rsidR="00B9669F">
        <w:rPr>
          <w:rFonts w:ascii="Arial" w:hAnsi="Arial" w:cs="Arial"/>
        </w:rPr>
        <w:t> </w:t>
      </w:r>
      <w:r w:rsidRPr="003029D5">
        <w:rPr>
          <w:rFonts w:ascii="Arial" w:hAnsi="Arial" w:cs="Arial"/>
        </w:rPr>
        <w:t xml:space="preserve">części wydatku rozliczanej </w:t>
      </w:r>
      <w:r w:rsidR="00AC176B" w:rsidRPr="003029D5">
        <w:rPr>
          <w:rFonts w:ascii="Arial" w:hAnsi="Arial" w:cs="Arial"/>
        </w:rPr>
        <w:t>w</w:t>
      </w:r>
      <w:r w:rsidR="00AC176B">
        <w:rPr>
          <w:rFonts w:ascii="Arial" w:hAnsi="Arial" w:cs="Arial"/>
        </w:rPr>
        <w:t> </w:t>
      </w:r>
      <w:r w:rsidRPr="003029D5">
        <w:rPr>
          <w:rFonts w:ascii="Arial" w:hAnsi="Arial" w:cs="Arial"/>
        </w:rPr>
        <w:t>programie stosującym rozliczenie na podstawie kosztów rzeczywistych możliwe jest rozliczenie wydatku maksymalnie z poziomem kwalifikowalności stanowiska w danym programie.</w:t>
      </w:r>
    </w:p>
    <w:p w14:paraId="16B572DC" w14:textId="52CE2DB3" w:rsidR="00115B39" w:rsidRPr="002245F9" w:rsidRDefault="00115B39" w:rsidP="00115B39">
      <w:pPr>
        <w:pStyle w:val="Tytu"/>
        <w:numPr>
          <w:ilvl w:val="0"/>
          <w:numId w:val="27"/>
        </w:numPr>
        <w:spacing w:after="120" w:line="360" w:lineRule="auto"/>
        <w:ind w:left="357" w:hanging="357"/>
        <w:jc w:val="left"/>
        <w:rPr>
          <w:rFonts w:ascii="Arial" w:hAnsi="Arial" w:cs="Arial"/>
          <w:b w:val="0"/>
          <w:spacing w:val="4"/>
        </w:rPr>
      </w:pPr>
      <w:bookmarkStart w:id="249" w:name="_Toc382825308"/>
      <w:bookmarkStart w:id="250" w:name="_Toc382825539"/>
      <w:bookmarkStart w:id="251" w:name="_Toc88553311"/>
      <w:bookmarkStart w:id="252" w:name="_Toc95118932"/>
      <w:bookmarkEnd w:id="249"/>
      <w:bookmarkEnd w:id="250"/>
      <w:r w:rsidRPr="002245F9">
        <w:rPr>
          <w:rFonts w:ascii="Arial" w:hAnsi="Arial" w:cs="Arial"/>
          <w:b w:val="0"/>
          <w:spacing w:val="4"/>
        </w:rPr>
        <w:t>Ze środków pomocy technicznej mogą być finansowane wynagrodzenia za zadania kwalifikowalne w ramach działań</w:t>
      </w:r>
      <w:r>
        <w:rPr>
          <w:rFonts w:ascii="Arial" w:hAnsi="Arial" w:cs="Arial"/>
          <w:b w:val="0"/>
          <w:spacing w:val="4"/>
        </w:rPr>
        <w:t xml:space="preserve"> </w:t>
      </w:r>
      <w:r w:rsidRPr="003029D5">
        <w:rPr>
          <w:rFonts w:ascii="Arial" w:hAnsi="Arial" w:cs="Arial"/>
          <w:b w:val="0"/>
          <w:spacing w:val="4"/>
        </w:rPr>
        <w:t>określonych w rozdziale 2 Wytycznych,</w:t>
      </w:r>
      <w:r w:rsidRPr="002245F9">
        <w:rPr>
          <w:rFonts w:ascii="Arial" w:hAnsi="Arial" w:cs="Arial"/>
          <w:b w:val="0"/>
          <w:spacing w:val="4"/>
        </w:rPr>
        <w:t xml:space="preserve"> powierzone danej instytucji. W szczególności mogą być finansowane wynagrodzenia stanowisk pracy instytucji, które zgodnie z</w:t>
      </w:r>
      <w:r>
        <w:rPr>
          <w:rFonts w:ascii="Arial" w:hAnsi="Arial" w:cs="Arial"/>
          <w:b w:val="0"/>
          <w:spacing w:val="4"/>
        </w:rPr>
        <w:t> </w:t>
      </w:r>
      <w:r w:rsidRPr="002245F9">
        <w:rPr>
          <w:rFonts w:ascii="Arial" w:hAnsi="Arial" w:cs="Arial"/>
          <w:b w:val="0"/>
          <w:spacing w:val="4"/>
        </w:rPr>
        <w:t xml:space="preserve">dokumentacją programową (np. </w:t>
      </w:r>
      <w:r>
        <w:rPr>
          <w:rFonts w:ascii="Arial" w:hAnsi="Arial" w:cs="Arial"/>
          <w:b w:val="0"/>
          <w:spacing w:val="4"/>
        </w:rPr>
        <w:t>opisem systemu zarządzania i kontroli</w:t>
      </w:r>
      <w:r w:rsidRPr="002245F9">
        <w:rPr>
          <w:rFonts w:ascii="Arial" w:hAnsi="Arial" w:cs="Arial"/>
          <w:b w:val="0"/>
          <w:spacing w:val="4"/>
        </w:rPr>
        <w:t xml:space="preserve">, </w:t>
      </w:r>
      <w:r w:rsidRPr="002245F9">
        <w:rPr>
          <w:rFonts w:ascii="Arial" w:hAnsi="Arial" w:cs="Arial"/>
          <w:b w:val="0"/>
          <w:spacing w:val="4"/>
        </w:rPr>
        <w:lastRenderedPageBreak/>
        <w:t xml:space="preserve">Instrukcją Wykonawczą) pełnią ściśle zdefiniowane funkcje w systemie wdrażania np. IZ, IP, </w:t>
      </w:r>
      <w:r w:rsidR="00FD695A">
        <w:rPr>
          <w:rFonts w:ascii="Arial" w:hAnsi="Arial" w:cs="Arial"/>
          <w:b w:val="0"/>
          <w:spacing w:val="4"/>
        </w:rPr>
        <w:t>IW</w:t>
      </w:r>
      <w:r w:rsidRPr="002245F9">
        <w:rPr>
          <w:rFonts w:ascii="Arial" w:hAnsi="Arial" w:cs="Arial"/>
          <w:b w:val="0"/>
          <w:spacing w:val="4"/>
        </w:rPr>
        <w:t>, instytucji horyzontalnej (tj. funkcje związane z</w:t>
      </w:r>
      <w:r>
        <w:rPr>
          <w:rFonts w:ascii="Arial" w:hAnsi="Arial" w:cs="Arial"/>
          <w:b w:val="0"/>
          <w:spacing w:val="4"/>
        </w:rPr>
        <w:t> </w:t>
      </w:r>
      <w:r w:rsidRPr="002245F9">
        <w:rPr>
          <w:rFonts w:ascii="Arial" w:hAnsi="Arial" w:cs="Arial"/>
          <w:b w:val="0"/>
          <w:spacing w:val="4"/>
        </w:rPr>
        <w:t>programowaniem, wdrażaniem, koordynacją, monitorowaniem, ewaluacją, księgowaniem, kontrolą, audytem, informacją i promocją polityki spójności).</w:t>
      </w:r>
    </w:p>
    <w:p w14:paraId="4A04207D" w14:textId="77777777" w:rsidR="00115B39" w:rsidRPr="00185012" w:rsidRDefault="00115B39" w:rsidP="00C57D65">
      <w:pPr>
        <w:pStyle w:val="Nagwek3"/>
      </w:pPr>
      <w:bookmarkStart w:id="253" w:name="_Toc109128023"/>
      <w:bookmarkStart w:id="254" w:name="_Toc110601977"/>
      <w:r w:rsidRPr="00185012">
        <w:t>Sekcja 9.1.1 Wykaz wydatków kwalifikowalnych i niekwalifikowalnych</w:t>
      </w:r>
      <w:bookmarkEnd w:id="253"/>
      <w:bookmarkEnd w:id="254"/>
    </w:p>
    <w:p w14:paraId="1B5F2897" w14:textId="2A622583" w:rsidR="00115B39" w:rsidRPr="002245F9" w:rsidRDefault="00115B39" w:rsidP="007C47BC">
      <w:pPr>
        <w:spacing w:after="120" w:line="360" w:lineRule="auto"/>
        <w:rPr>
          <w:rFonts w:cs="Arial"/>
        </w:rPr>
      </w:pPr>
      <w:r w:rsidRPr="002245F9">
        <w:rPr>
          <w:rFonts w:cs="Arial"/>
        </w:rPr>
        <w:t xml:space="preserve">Wydatki przedstawione w poniższych tabelach stanowią wykaz wydatków kwalifikowalnych (Tabela 2) i niekwalifikowalnych (Tabela 3). Niniejszy wykaz </w:t>
      </w:r>
      <w:r w:rsidR="00B9669F">
        <w:rPr>
          <w:rFonts w:cs="Arial"/>
        </w:rPr>
        <w:t xml:space="preserve">wydatków niekwalifikowalnych </w:t>
      </w:r>
      <w:r w:rsidRPr="002245F9">
        <w:rPr>
          <w:rFonts w:cs="Arial"/>
        </w:rPr>
        <w:t>nie może zostać zawężony i obowiązuje niezależnie od przyjętej metody rozliczania wydatków. Tabele stanowią uszczegółowienie zasad opisanych w</w:t>
      </w:r>
      <w:r>
        <w:rPr>
          <w:rFonts w:cs="Arial"/>
        </w:rPr>
        <w:t> </w:t>
      </w:r>
      <w:r w:rsidRPr="002245F9">
        <w:rPr>
          <w:rFonts w:cs="Arial"/>
        </w:rPr>
        <w:t>rozdziale 9 i należy je stosować z uwzględnieniem zasad w nim opisanych.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115B39" w:rsidRPr="002245F9" w14:paraId="4C29B49A" w14:textId="77777777" w:rsidTr="00D634BA">
        <w:trPr>
          <w:trHeight w:val="680"/>
          <w:tblHeader/>
          <w:jc w:val="center"/>
        </w:trPr>
        <w:tc>
          <w:tcPr>
            <w:tcW w:w="9072" w:type="dxa"/>
            <w:shd w:val="clear" w:color="auto" w:fill="DBDBDB" w:themeFill="accent3" w:themeFillTint="66"/>
          </w:tcPr>
          <w:p w14:paraId="2CA4DFC8" w14:textId="77777777" w:rsidR="00115B39" w:rsidRPr="002245F9" w:rsidRDefault="00115B39" w:rsidP="00D634BA">
            <w:pPr>
              <w:pStyle w:val="Default"/>
              <w:spacing w:before="240" w:afterLines="60" w:after="144"/>
              <w:jc w:val="center"/>
              <w:rPr>
                <w:rFonts w:ascii="Arial" w:hAnsi="Arial" w:cs="Arial"/>
                <w:b/>
              </w:rPr>
            </w:pPr>
            <w:r w:rsidRPr="002245F9">
              <w:rPr>
                <w:rFonts w:ascii="Arial" w:hAnsi="Arial" w:cs="Arial"/>
                <w:b/>
              </w:rPr>
              <w:t>Tabela 2 – Wydatki kwalifikowalne</w:t>
            </w:r>
          </w:p>
        </w:tc>
      </w:tr>
      <w:tr w:rsidR="00115B39" w:rsidRPr="002245F9" w14:paraId="6D699B77" w14:textId="77777777" w:rsidTr="00D634BA">
        <w:trPr>
          <w:trHeight w:val="1100"/>
          <w:jc w:val="center"/>
        </w:trPr>
        <w:tc>
          <w:tcPr>
            <w:tcW w:w="9072" w:type="dxa"/>
          </w:tcPr>
          <w:p w14:paraId="77025394"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Wynagrodzenie zasadnicze</w:t>
            </w:r>
          </w:p>
          <w:p w14:paraId="2F4D5A97"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DWR</w:t>
            </w:r>
          </w:p>
          <w:p w14:paraId="45991637"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 xml:space="preserve">Wynagrodzenie chorobowe </w:t>
            </w:r>
          </w:p>
          <w:p w14:paraId="1CF62123"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Wynagrodzenie za czas urlopu wypoczynkowego, szkoleniowego oraz ekwiwalent za urlop wypoczynkowy</w:t>
            </w:r>
          </w:p>
          <w:p w14:paraId="2961F76F"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Wynagrodzenie za pracę w godzinach nadliczbowych (zgodnie z regulaminem wewnętrznym obowiązującym w instytucji)</w:t>
            </w:r>
          </w:p>
          <w:p w14:paraId="2E5E2E40"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Wynagrodzenie osoby zatrudnionej za pośrednictwem agencji pracy tymczasowej, zgodnie z ustawą o zatrudnianiu pracowników tymczasowych</w:t>
            </w:r>
          </w:p>
          <w:p w14:paraId="6E210751"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Wypłaty z funduszu nagród, nagrody, premie i inne dodatki wynikające z</w:t>
            </w:r>
            <w:r>
              <w:rPr>
                <w:rFonts w:cs="Arial"/>
              </w:rPr>
              <w:t> </w:t>
            </w:r>
            <w:r w:rsidRPr="00026F4B">
              <w:rPr>
                <w:rFonts w:cs="Arial"/>
              </w:rPr>
              <w:t>powszechnie obowiązujących przepisów prawa lub regulaminów instytucji</w:t>
            </w:r>
          </w:p>
          <w:p w14:paraId="0422A5DE"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Dodatek funkcyjny</w:t>
            </w:r>
          </w:p>
          <w:p w14:paraId="4041D771"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Dodatek stażowy (również za czas niezdolności do pracy wskutek choroby)</w:t>
            </w:r>
          </w:p>
          <w:p w14:paraId="38F2E0D2"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Dodatek za stopień służbowy</w:t>
            </w:r>
          </w:p>
          <w:p w14:paraId="58A798CD"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Dodatek specjalny</w:t>
            </w:r>
          </w:p>
          <w:p w14:paraId="309DD960"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lastRenderedPageBreak/>
              <w:t>Dodatek zadaniowy</w:t>
            </w:r>
          </w:p>
          <w:p w14:paraId="32A8F6BE"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 xml:space="preserve">Składki na ubezpieczenia społeczne, zdrowotne płacone przez pracownika i pracodawcę </w:t>
            </w:r>
          </w:p>
          <w:p w14:paraId="170E99B6"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Składka na Fundusz Pracy</w:t>
            </w:r>
          </w:p>
          <w:p w14:paraId="262BA7EC"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Składka na Fundusz Gwarantowanych Świadczeń Pracowniczych</w:t>
            </w:r>
          </w:p>
          <w:p w14:paraId="73D5C32D"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Składki na Pracownicze Plany Kapitałowe</w:t>
            </w:r>
          </w:p>
          <w:p w14:paraId="6AAD8942"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Składki opłacane przez pracodawcę w Pracowniczych Programach Emerytalnych</w:t>
            </w:r>
          </w:p>
          <w:p w14:paraId="1E77A92E"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Koszty badań wstępnych, okresowych oraz kontrolnych</w:t>
            </w:r>
          </w:p>
          <w:p w14:paraId="6FA21B61"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Świadczenie związane z zapewnieniem przez pracodawcę okularów lub szkieł kontaktowych do pracy przy monitorze</w:t>
            </w:r>
          </w:p>
          <w:p w14:paraId="390157FE"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Opracowanie i wdrożenie strategii zarządzania zasobami ludzkimi</w:t>
            </w:r>
          </w:p>
          <w:p w14:paraId="03997994" w14:textId="77777777" w:rsidR="00115B39" w:rsidRPr="00026F4B" w:rsidRDefault="00115B39" w:rsidP="005F6922">
            <w:pPr>
              <w:pStyle w:val="Akapitzlist"/>
              <w:numPr>
                <w:ilvl w:val="0"/>
                <w:numId w:val="29"/>
              </w:numPr>
              <w:tabs>
                <w:tab w:val="num" w:pos="1980"/>
              </w:tabs>
              <w:spacing w:before="120" w:after="120" w:line="360" w:lineRule="auto"/>
              <w:ind w:left="357" w:hanging="357"/>
              <w:rPr>
                <w:rFonts w:cs="Arial"/>
              </w:rPr>
            </w:pPr>
            <w:r w:rsidRPr="00026F4B">
              <w:rPr>
                <w:rFonts w:cs="Arial"/>
              </w:rPr>
              <w:t>Kompleksowa organizacja spotkań, w tym usługi cateringowe, wynajęcie sal, sprzętu multimedialnego i nagłośnienia</w:t>
            </w:r>
          </w:p>
          <w:p w14:paraId="31D9CF20" w14:textId="72381437" w:rsidR="00115B39" w:rsidRPr="00026F4B" w:rsidRDefault="00115B39" w:rsidP="00C57D65">
            <w:pPr>
              <w:pStyle w:val="Akapitzlist"/>
              <w:numPr>
                <w:ilvl w:val="0"/>
                <w:numId w:val="29"/>
              </w:numPr>
              <w:tabs>
                <w:tab w:val="num" w:pos="1980"/>
              </w:tabs>
              <w:spacing w:before="120" w:after="120" w:line="360" w:lineRule="auto"/>
              <w:ind w:left="357" w:hanging="357"/>
              <w:rPr>
                <w:rFonts w:cs="Arial"/>
              </w:rPr>
            </w:pPr>
            <w:r w:rsidRPr="00026F4B">
              <w:rPr>
                <w:rFonts w:cs="Arial"/>
              </w:rPr>
              <w:t xml:space="preserve">Wydatki związane z obsługą </w:t>
            </w:r>
            <w:r w:rsidR="00773AF2">
              <w:rPr>
                <w:rFonts w:cs="Arial"/>
              </w:rPr>
              <w:t xml:space="preserve">i funkcjonowaniem </w:t>
            </w:r>
            <w:r w:rsidRPr="00026F4B">
              <w:rPr>
                <w:rFonts w:cs="Arial"/>
              </w:rPr>
              <w:t xml:space="preserve">KM pod warunkiem ich zgodności z </w:t>
            </w:r>
            <w:r w:rsidR="00773AF2">
              <w:rPr>
                <w:rFonts w:cs="Arial"/>
              </w:rPr>
              <w:t>W</w:t>
            </w:r>
            <w:r w:rsidR="00773AF2" w:rsidRPr="00026F4B">
              <w:rPr>
                <w:rFonts w:cs="Arial"/>
              </w:rPr>
              <w:t xml:space="preserve">ytycznymi </w:t>
            </w:r>
            <w:r w:rsidR="00773AF2">
              <w:rPr>
                <w:rFonts w:cs="Arial"/>
              </w:rPr>
              <w:t xml:space="preserve">dotyczącymi </w:t>
            </w:r>
            <w:r w:rsidR="00BF381D">
              <w:rPr>
                <w:rFonts w:cs="Arial"/>
              </w:rPr>
              <w:t>komitetów monitorujących</w:t>
            </w:r>
          </w:p>
          <w:p w14:paraId="0BEBC67C" w14:textId="77777777" w:rsidR="00115B39" w:rsidRPr="00026F4B" w:rsidRDefault="00115B39" w:rsidP="001A694C">
            <w:pPr>
              <w:pStyle w:val="Akapitzlist"/>
              <w:numPr>
                <w:ilvl w:val="0"/>
                <w:numId w:val="29"/>
              </w:numPr>
              <w:tabs>
                <w:tab w:val="num" w:pos="1980"/>
              </w:tabs>
              <w:spacing w:before="120" w:after="120" w:line="360" w:lineRule="auto"/>
              <w:ind w:left="357" w:hanging="357"/>
              <w:rPr>
                <w:rFonts w:cs="Arial"/>
              </w:rPr>
            </w:pPr>
            <w:r w:rsidRPr="00026F4B">
              <w:rPr>
                <w:rFonts w:cs="Arial"/>
              </w:rPr>
              <w:t>Delegacje służbowe (krajowe i zagraniczne) i koszty z nimi związane (np. zakup biletów komunikacji lub paliwa do samochodu</w:t>
            </w:r>
            <w:r>
              <w:rPr>
                <w:rFonts w:cs="Arial"/>
              </w:rPr>
              <w:t xml:space="preserve">, </w:t>
            </w:r>
            <w:r w:rsidRPr="00015D47">
              <w:rPr>
                <w:rFonts w:cs="Arial"/>
              </w:rPr>
              <w:t>opłaty za przejazd płatnymi odcinkami dróg</w:t>
            </w:r>
            <w:r w:rsidRPr="00026F4B">
              <w:rPr>
                <w:rFonts w:cs="Arial"/>
              </w:rPr>
              <w:t>)</w:t>
            </w:r>
            <w:r>
              <w:rPr>
                <w:rFonts w:cs="Arial"/>
              </w:rPr>
              <w:t xml:space="preserve"> oraz </w:t>
            </w:r>
            <w:r w:rsidRPr="00015D47">
              <w:rPr>
                <w:rFonts w:cs="Arial"/>
              </w:rPr>
              <w:t>koszt</w:t>
            </w:r>
            <w:r>
              <w:rPr>
                <w:rFonts w:cs="Arial"/>
              </w:rPr>
              <w:t>y</w:t>
            </w:r>
            <w:r w:rsidRPr="00015D47">
              <w:rPr>
                <w:rFonts w:cs="Arial"/>
              </w:rPr>
              <w:t xml:space="preserve"> delegacji pracownika obsługującego podróż służbową (kierowcy)</w:t>
            </w:r>
          </w:p>
          <w:p w14:paraId="6F2A3DF0"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Koszty pośrednictwa (np. pośrednictwo przy zakupie biletów lotniczych)</w:t>
            </w:r>
          </w:p>
          <w:p w14:paraId="4297178C"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 xml:space="preserve">Koszty </w:t>
            </w:r>
            <w:r w:rsidRPr="00427F07">
              <w:rPr>
                <w:rFonts w:cs="Arial"/>
              </w:rPr>
              <w:t>organizacji i udziału w różnych formach szkoleniowych</w:t>
            </w:r>
            <w:r w:rsidRPr="00026F4B">
              <w:rPr>
                <w:rFonts w:cs="Arial"/>
              </w:rPr>
              <w:t xml:space="preserve"> oraz zakup, najem, opracowanie, druk, powielanie, publikacja i dystrybucja materiałów dydaktycznych, opłaty za uzyskanie certyfikatów i ich utrzymanie</w:t>
            </w:r>
          </w:p>
          <w:p w14:paraId="396F3D56"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Opracowanie ekspertyz, analiz, studiów, koncepcji itp.</w:t>
            </w:r>
          </w:p>
          <w:p w14:paraId="7B90E029"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Koszty zakupu usługi wsparcia eksperckiego i doradztwo specjalistyczne</w:t>
            </w:r>
          </w:p>
          <w:p w14:paraId="7FF46F84"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Przygotowanie dokumentacji projektowej (doradztwo, weryfikacja dokumentacji)</w:t>
            </w:r>
          </w:p>
          <w:p w14:paraId="5F670713"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lastRenderedPageBreak/>
              <w:t>Kompleksowa organizacja konkursów</w:t>
            </w:r>
          </w:p>
          <w:p w14:paraId="0E8741F1"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Tłumaczenia oraz weryfikacja tłumaczeń</w:t>
            </w:r>
          </w:p>
          <w:p w14:paraId="75F96C73"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Zakup i prenumerata prasy i innych publikacji</w:t>
            </w:r>
          </w:p>
          <w:p w14:paraId="7CC276ED"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Ewaluacje</w:t>
            </w:r>
          </w:p>
          <w:p w14:paraId="4B596BBE"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Zakup zbiorów i baz danych na potrzeby sporządzania badań, ewaluacji, ekspertyz, opinii</w:t>
            </w:r>
          </w:p>
          <w:p w14:paraId="4087256D" w14:textId="6C6C7D16"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Usługi zlecone w ramach zadań IZ/IP</w:t>
            </w:r>
            <w:r w:rsidRPr="00502891">
              <w:rPr>
                <w:rFonts w:cs="Arial"/>
              </w:rPr>
              <w:t>/</w:t>
            </w:r>
            <w:r w:rsidR="00FD695A">
              <w:rPr>
                <w:rFonts w:cs="Arial"/>
              </w:rPr>
              <w:t>IW</w:t>
            </w:r>
            <w:r w:rsidRPr="00502891">
              <w:rPr>
                <w:rFonts w:cs="Arial"/>
              </w:rPr>
              <w:t>/</w:t>
            </w:r>
            <w:r w:rsidRPr="00026F4B">
              <w:rPr>
                <w:rFonts w:cs="Arial"/>
              </w:rPr>
              <w:t>IA, w szczególności outsourcing kontroli na miejscu realizacji projektów oraz outsourcing audytów</w:t>
            </w:r>
          </w:p>
          <w:p w14:paraId="1BB3926D"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Odzież robocza na potrzeby kontroli i wizyt monitoringowych</w:t>
            </w:r>
          </w:p>
          <w:p w14:paraId="5305328B"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 xml:space="preserve">Przygotowanie specyfikacji przetargowej i przeprowadzenie przetargu </w:t>
            </w:r>
          </w:p>
          <w:p w14:paraId="0970DB43"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Wydatki związane z przechowywaniem oraz archiwizacją dokumentów</w:t>
            </w:r>
          </w:p>
          <w:p w14:paraId="499847DF"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Wydatki związane z obsługą weksli będących zabezpieczeniem realizacji umów</w:t>
            </w:r>
          </w:p>
          <w:p w14:paraId="720A0821"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Opłaty ponoszone w zakresie czynności prowadzonych przez kancelarie notarialne i prawne</w:t>
            </w:r>
          </w:p>
          <w:p w14:paraId="05E6DD31"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Koszty oraz prowizje bankowe (np. koszty związane z prowadzeniem rachunku lub opłatą bankową za przelew zagraniczny)</w:t>
            </w:r>
          </w:p>
          <w:p w14:paraId="04C05661"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Adaptacja, remont i modernizacja pomieszczeń biurowych, magazynowych oraz archiwów (zarówno prace projektowe, jak i roboty budowlane)</w:t>
            </w:r>
          </w:p>
          <w:p w14:paraId="61BE75D8"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Zapewnienie (np. najem, dzierżawa i użyczenie), utrzymanie i amortyzacja pomieszczeń biurowych, magazynowych oraz archiwów (w tym media, koszty sprzątania, zakup środków czystości)</w:t>
            </w:r>
          </w:p>
          <w:p w14:paraId="62BBB88F"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Zakup, konserwacja, utrzymanie, naprawa oraz amortyzacja wyposażenia biurowego, urządzeń IT i zestawów komputerowych</w:t>
            </w:r>
          </w:p>
          <w:p w14:paraId="56A41EAA"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Budowa, utrzymanie i rozwój systemu informatycznego CST2021 oraz funkcjonalności niezbędnych do obsługi procesów związanych z realizacją polityki spójności w innych systemach informatycznych</w:t>
            </w:r>
          </w:p>
          <w:p w14:paraId="71393BFE"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lastRenderedPageBreak/>
              <w:t>Zakup kwalifikowalnych podpisów elektronicznych na potrzeby realizacji projektu</w:t>
            </w:r>
          </w:p>
          <w:p w14:paraId="3BBF701E"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Ubezpieczenie mienia (w szczególności wyposażenia i środków trwałych)</w:t>
            </w:r>
          </w:p>
          <w:p w14:paraId="3A3CF7A8"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Zakup materiałów eksploatacyjnych</w:t>
            </w:r>
          </w:p>
          <w:p w14:paraId="4FF5A9D1"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Ochrona budynku, konserwacja wind, ewidencja elektroniczna wejść i wyjść</w:t>
            </w:r>
          </w:p>
          <w:p w14:paraId="1E80A333"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Niezbędne wydatki związane z zapewnieniem i utrzymaniem służbowych środków transportu, w szczególności naprawy, miejsca postojowe, ubezpieczenie, serwis</w:t>
            </w:r>
            <w:r w:rsidRPr="00026F4B" w:rsidDel="00A4086E">
              <w:rPr>
                <w:rFonts w:cs="Arial"/>
              </w:rPr>
              <w:t xml:space="preserve"> </w:t>
            </w:r>
          </w:p>
          <w:p w14:paraId="4801A110"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Zakup usług pocztowych i kurierskich</w:t>
            </w:r>
          </w:p>
          <w:p w14:paraId="018CABDF"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 xml:space="preserve">Zakup telefonów i usług telekomunikacyjnych, w tym opłaty abonamentowe </w:t>
            </w:r>
          </w:p>
          <w:p w14:paraId="0CAA4150"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Zakup i instalacja oprogramowania oraz zakup licencji, koszty dostępu do baz danych (np. wywiadowni gospodarczych) oraz mobilnego internetu</w:t>
            </w:r>
          </w:p>
          <w:p w14:paraId="7A984F7C"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Nabycie praw autorskich do materiałów wytworzonych w formie tradycyjnej lub elektronicznej w trakcie realizacji projektu</w:t>
            </w:r>
          </w:p>
          <w:p w14:paraId="402E40F2"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Wydatki dotyczące ogłoszeń oraz publikacji w mediach prasowych i elektronicznych</w:t>
            </w:r>
          </w:p>
          <w:p w14:paraId="497E4D91"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 xml:space="preserve">Przygotowanie, modyfikacja i uaktualnianie strategii komunikacji na temat polityki spójności </w:t>
            </w:r>
          </w:p>
          <w:p w14:paraId="0D72A2B9"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Współpraca z mediami (np. realizacja programów, audycji telewizyjnych i radiowych oraz udział w nich, publikacje prasowe, konferencje prasowe, itp.)</w:t>
            </w:r>
          </w:p>
          <w:p w14:paraId="01D94E08"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Wydatki związane z organizacją i obsługą akcji i imprez promocyjnych</w:t>
            </w:r>
          </w:p>
          <w:p w14:paraId="08932C93"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Zakup wyposażenia pomocniczego niezbędnego do przeprowadzenia akcji promocyjnych (np. zakup systemów wystawienniczych, akcesoria do zabawy dla najmłodszych tj. kredki, bloki, itp.)</w:t>
            </w:r>
          </w:p>
          <w:p w14:paraId="1121C891"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 xml:space="preserve">Wydatki związane z uruchomieniem, utrzymaniem i działalnością oraz koordynacją działalności punktów informacyjnych (sieci Punktów </w:t>
            </w:r>
            <w:r w:rsidRPr="00026F4B">
              <w:rPr>
                <w:rFonts w:cs="Arial"/>
              </w:rPr>
              <w:lastRenderedPageBreak/>
              <w:t>Informacyjnych Funduszy Europejskich oraz innego typu punkty kontaktowe, informatoria i infolinie) z zakresu polityki spójności</w:t>
            </w:r>
          </w:p>
          <w:p w14:paraId="58181FE2"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Zakup, opracowanie, druk, powielanie i dystrybucja publikacji oraz materiałów informacyjnych i promocyjnych</w:t>
            </w:r>
          </w:p>
          <w:p w14:paraId="308BFB0E" w14:textId="77777777" w:rsidR="00115B39" w:rsidRPr="00026F4B" w:rsidRDefault="00115B39" w:rsidP="007C47BC">
            <w:pPr>
              <w:pStyle w:val="Akapitzlist"/>
              <w:numPr>
                <w:ilvl w:val="0"/>
                <w:numId w:val="29"/>
              </w:numPr>
              <w:tabs>
                <w:tab w:val="num" w:pos="1980"/>
              </w:tabs>
              <w:spacing w:before="120" w:after="120" w:line="360" w:lineRule="auto"/>
              <w:ind w:left="357" w:hanging="357"/>
              <w:contextualSpacing w:val="0"/>
              <w:rPr>
                <w:rFonts w:cs="Arial"/>
              </w:rPr>
            </w:pPr>
            <w:r w:rsidRPr="00026F4B">
              <w:rPr>
                <w:rFonts w:cs="Arial"/>
              </w:rPr>
              <w:t>Przeprowadzenie badań opinii publicznej i badań działań informacyjno-promocyjnych</w:t>
            </w:r>
          </w:p>
          <w:p w14:paraId="052B1112"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Budowa, modyfikacja, rozwój i utrzymanie portali i stron internetowych i mediów społecznościowych (w tym zakup certyfikatów bezpieczeństwa) w celu informowania i promowanie polityki spójności</w:t>
            </w:r>
          </w:p>
          <w:p w14:paraId="603A8FDE"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Utrzymanie i promocja portali oraz stron internetowych, prowadzenie działań informacyjno-promocyjnych w mediach społecznościowych</w:t>
            </w:r>
          </w:p>
          <w:p w14:paraId="41AE178F"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Uruchomienie i utrzymanie infolinii i serwisów informacyjnych</w:t>
            </w:r>
          </w:p>
          <w:p w14:paraId="4ECA8F9B"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Prezentacja i promocja przykładów najlepszych praktyk i najlepszych projektów</w:t>
            </w:r>
          </w:p>
          <w:p w14:paraId="4BF41229" w14:textId="77777777" w:rsidR="00115B39" w:rsidRPr="00026F4B" w:rsidRDefault="00115B39" w:rsidP="007C47BC">
            <w:pPr>
              <w:pStyle w:val="Akapitzlist"/>
              <w:numPr>
                <w:ilvl w:val="0"/>
                <w:numId w:val="29"/>
              </w:numPr>
              <w:spacing w:before="120" w:after="120" w:line="360" w:lineRule="auto"/>
              <w:ind w:left="357" w:hanging="357"/>
              <w:contextualSpacing w:val="0"/>
              <w:rPr>
                <w:rFonts w:cs="Arial"/>
              </w:rPr>
            </w:pPr>
            <w:r w:rsidRPr="00026F4B">
              <w:rPr>
                <w:rFonts w:cs="Arial"/>
              </w:rPr>
              <w:t>Utworzenie intranetowych lub ekstranetowych systemów wymiany informacji między uczestnikami systemu (np. Baza Wiedzy)</w:t>
            </w:r>
          </w:p>
        </w:tc>
      </w:tr>
    </w:tbl>
    <w:p w14:paraId="077E05A4" w14:textId="1391F53A" w:rsidR="00115B39" w:rsidRDefault="00115B39" w:rsidP="00115B39">
      <w:pPr>
        <w:rPr>
          <w:rFonts w:cs="Arial"/>
          <w:sz w:val="2"/>
          <w:szCs w:val="2"/>
        </w:rPr>
      </w:pPr>
    </w:p>
    <w:p w14:paraId="61795F8D" w14:textId="085387E2" w:rsidR="005F6922" w:rsidRPr="007C47BC" w:rsidRDefault="005F6922" w:rsidP="007C47BC">
      <w:pPr>
        <w:spacing w:before="240"/>
        <w:rPr>
          <w:rFonts w:cs="Arial"/>
          <w:sz w:val="16"/>
          <w:szCs w:val="1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115B39" w:rsidRPr="002245F9" w14:paraId="278A19F7" w14:textId="77777777" w:rsidTr="00D634BA">
        <w:trPr>
          <w:trHeight w:val="680"/>
          <w:tblHeader/>
          <w:jc w:val="center"/>
        </w:trPr>
        <w:tc>
          <w:tcPr>
            <w:tcW w:w="9072" w:type="dxa"/>
            <w:shd w:val="clear" w:color="auto" w:fill="F7CAAC" w:themeFill="accent2" w:themeFillTint="66"/>
          </w:tcPr>
          <w:p w14:paraId="08AB1D27" w14:textId="77777777" w:rsidR="00115B39" w:rsidRPr="002245F9" w:rsidRDefault="00115B39" w:rsidP="00D634BA">
            <w:pPr>
              <w:pStyle w:val="Default"/>
              <w:spacing w:before="240" w:afterLines="60" w:after="144"/>
              <w:jc w:val="center"/>
              <w:rPr>
                <w:rFonts w:ascii="Arial" w:hAnsi="Arial" w:cs="Arial"/>
                <w:b/>
                <w:color w:val="FF0000"/>
              </w:rPr>
            </w:pPr>
            <w:r w:rsidRPr="002245F9">
              <w:rPr>
                <w:rFonts w:ascii="Arial" w:hAnsi="Arial" w:cs="Arial"/>
                <w:b/>
              </w:rPr>
              <w:t>Tabela 3 - Wydatki niekwalifikowalne</w:t>
            </w:r>
          </w:p>
        </w:tc>
      </w:tr>
      <w:tr w:rsidR="00115B39" w:rsidRPr="002245F9" w14:paraId="14448897" w14:textId="77777777" w:rsidTr="00D634BA">
        <w:trPr>
          <w:trHeight w:val="1456"/>
          <w:jc w:val="center"/>
        </w:trPr>
        <w:tc>
          <w:tcPr>
            <w:tcW w:w="9072" w:type="dxa"/>
          </w:tcPr>
          <w:p w14:paraId="7812E66E" w14:textId="77777777" w:rsidR="00115B39" w:rsidRPr="002245F9" w:rsidRDefault="00115B39" w:rsidP="007C47BC">
            <w:pPr>
              <w:numPr>
                <w:ilvl w:val="0"/>
                <w:numId w:val="30"/>
              </w:numPr>
              <w:autoSpaceDE w:val="0"/>
              <w:autoSpaceDN w:val="0"/>
              <w:adjustRightInd w:val="0"/>
              <w:spacing w:before="120" w:after="120" w:line="360" w:lineRule="auto"/>
              <w:ind w:left="357" w:hanging="357"/>
              <w:rPr>
                <w:rFonts w:cs="Arial"/>
              </w:rPr>
            </w:pPr>
            <w:r w:rsidRPr="002245F9">
              <w:rPr>
                <w:rFonts w:cs="Arial"/>
              </w:rPr>
              <w:t>Ubezpieczenie cywilne funkcjonariuszy publicznych za szkodę wyrządzoną przy wykonywaniu władzy publicznej</w:t>
            </w:r>
          </w:p>
          <w:p w14:paraId="081EF1AA"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t>Odprawy pracownicze</w:t>
            </w:r>
          </w:p>
          <w:p w14:paraId="2629C939"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t>Nagrody jubileuszowe, nagrody specjalne za staż pracy w jednostce organizacyjnej oraz wypłaty z funduszu nagród, nagrody i premie wypłacone za wykonywanie zadań niekwalifikowalnych</w:t>
            </w:r>
          </w:p>
          <w:p w14:paraId="2C19479B"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t>Wynagrodzenie wypłacane w okresie wypowiedzenia bez obowiązku świadczenia pracy oraz w okresie tymczasowego aresztowania</w:t>
            </w:r>
          </w:p>
          <w:p w14:paraId="60DCCC1D"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lastRenderedPageBreak/>
              <w:t>Świadczenia finansowane ze środków zakładowego funduszu świadczeń socjalnych, odpisy na zakładowy fundusz świadczeń socjalnych</w:t>
            </w:r>
          </w:p>
          <w:p w14:paraId="118F6754"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t>Zasiłki finansowane ze środków ZUS (w tym zasiłek chorobowy, macierzyński, opiekuńczy oraz wyrównanie tych zasiłków ), świadczenie rehabilitacyjne</w:t>
            </w:r>
          </w:p>
          <w:p w14:paraId="457BBF7B"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t>Wpłaty na Państwowy Fundusz Rehabilitacji Osób Niepełnosprawnych</w:t>
            </w:r>
          </w:p>
          <w:p w14:paraId="376DB3D7" w14:textId="77777777" w:rsidR="00115B39" w:rsidRPr="002245F9" w:rsidRDefault="00115B39" w:rsidP="007C47BC">
            <w:pPr>
              <w:numPr>
                <w:ilvl w:val="0"/>
                <w:numId w:val="30"/>
              </w:numPr>
              <w:autoSpaceDE w:val="0"/>
              <w:autoSpaceDN w:val="0"/>
              <w:adjustRightInd w:val="0"/>
              <w:spacing w:before="120" w:after="120" w:line="360" w:lineRule="auto"/>
              <w:ind w:left="357" w:hanging="357"/>
              <w:rPr>
                <w:rFonts w:cs="Arial"/>
              </w:rPr>
            </w:pPr>
            <w:r w:rsidRPr="002245F9">
              <w:rPr>
                <w:rFonts w:cs="Arial"/>
              </w:rPr>
              <w:t>Ubezpieczenia na życie pracowników (z wyjątkiem ubezpieczeń na życie w zakresie obowiązkowego ubezpieczenia NNW w przypadku zagranicznych podróży służbowych)</w:t>
            </w:r>
          </w:p>
          <w:p w14:paraId="06991700"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t>Koszty usług zdrowotnych, których finansowanie przez pracodawcę nie wynika z przepisów prawa</w:t>
            </w:r>
          </w:p>
          <w:p w14:paraId="3A1410F3" w14:textId="77777777" w:rsidR="00115B39" w:rsidRPr="002245F9" w:rsidRDefault="00115B39" w:rsidP="007C47BC">
            <w:pPr>
              <w:numPr>
                <w:ilvl w:val="0"/>
                <w:numId w:val="30"/>
              </w:numPr>
              <w:autoSpaceDE w:val="0"/>
              <w:autoSpaceDN w:val="0"/>
              <w:adjustRightInd w:val="0"/>
              <w:spacing w:before="120" w:after="120" w:line="360" w:lineRule="auto"/>
              <w:ind w:left="357" w:hanging="357"/>
              <w:rPr>
                <w:rFonts w:cs="Arial"/>
              </w:rPr>
            </w:pPr>
            <w:r w:rsidRPr="002245F9">
              <w:rPr>
                <w:rFonts w:cs="Arial"/>
              </w:rPr>
              <w:t>Bony towarowe</w:t>
            </w:r>
          </w:p>
          <w:p w14:paraId="2EDB0BBA" w14:textId="77777777" w:rsidR="00115B39" w:rsidRDefault="00115B39" w:rsidP="007C47BC">
            <w:pPr>
              <w:numPr>
                <w:ilvl w:val="0"/>
                <w:numId w:val="30"/>
              </w:numPr>
              <w:autoSpaceDE w:val="0"/>
              <w:autoSpaceDN w:val="0"/>
              <w:adjustRightInd w:val="0"/>
              <w:spacing w:before="120" w:after="120" w:line="360" w:lineRule="auto"/>
              <w:ind w:left="357" w:hanging="357"/>
              <w:rPr>
                <w:rFonts w:cs="Arial"/>
              </w:rPr>
            </w:pPr>
            <w:r w:rsidRPr="002245F9">
              <w:rPr>
                <w:rFonts w:cs="Arial"/>
              </w:rPr>
              <w:t>Legitymacje kolejowe</w:t>
            </w:r>
          </w:p>
          <w:p w14:paraId="245DA30F" w14:textId="77777777" w:rsidR="00115B39" w:rsidRDefault="00115B39" w:rsidP="007C47BC">
            <w:pPr>
              <w:numPr>
                <w:ilvl w:val="0"/>
                <w:numId w:val="30"/>
              </w:numPr>
              <w:autoSpaceDE w:val="0"/>
              <w:autoSpaceDN w:val="0"/>
              <w:adjustRightInd w:val="0"/>
              <w:spacing w:before="120" w:after="120" w:line="360" w:lineRule="auto"/>
              <w:ind w:left="357" w:hanging="357"/>
              <w:rPr>
                <w:rFonts w:cs="Arial"/>
              </w:rPr>
            </w:pPr>
            <w:r w:rsidRPr="0047737D">
              <w:rPr>
                <w:rFonts w:cs="Arial"/>
                <w:spacing w:val="4"/>
              </w:rPr>
              <w:t>Studia z zakresu Master of Business Administration</w:t>
            </w:r>
            <w:r>
              <w:rPr>
                <w:rFonts w:cs="Arial"/>
                <w:spacing w:val="4"/>
              </w:rPr>
              <w:t>, a także koszty</w:t>
            </w:r>
            <w:r w:rsidRPr="002245F9">
              <w:rPr>
                <w:rFonts w:cs="Arial"/>
                <w:spacing w:val="4"/>
              </w:rPr>
              <w:t xml:space="preserve"> postępowania kwalifikacyjnego w służbie cywilnej wraz z kosztami kursu przygotowawczego</w:t>
            </w:r>
          </w:p>
          <w:p w14:paraId="37452AAD" w14:textId="77777777" w:rsidR="00115B39" w:rsidRPr="002245F9" w:rsidRDefault="00115B39" w:rsidP="007C47BC">
            <w:pPr>
              <w:numPr>
                <w:ilvl w:val="0"/>
                <w:numId w:val="30"/>
              </w:numPr>
              <w:autoSpaceDE w:val="0"/>
              <w:autoSpaceDN w:val="0"/>
              <w:adjustRightInd w:val="0"/>
              <w:spacing w:before="120" w:after="120" w:line="360" w:lineRule="auto"/>
              <w:ind w:left="357" w:hanging="357"/>
              <w:rPr>
                <w:rFonts w:cs="Arial"/>
              </w:rPr>
            </w:pPr>
            <w:r w:rsidRPr="00186543">
              <w:rPr>
                <w:rFonts w:cs="Arial"/>
              </w:rPr>
              <w:t>Wydatki na cele reprezentacyjne</w:t>
            </w:r>
          </w:p>
          <w:p w14:paraId="7382F979" w14:textId="77777777" w:rsidR="00115B39" w:rsidRPr="002245F9" w:rsidRDefault="00115B39" w:rsidP="007C47BC">
            <w:pPr>
              <w:numPr>
                <w:ilvl w:val="0"/>
                <w:numId w:val="30"/>
              </w:numPr>
              <w:autoSpaceDE w:val="0"/>
              <w:autoSpaceDN w:val="0"/>
              <w:adjustRightInd w:val="0"/>
              <w:spacing w:before="120" w:after="120" w:line="360" w:lineRule="auto"/>
              <w:ind w:left="357" w:hanging="357"/>
              <w:rPr>
                <w:rFonts w:cs="Arial"/>
              </w:rPr>
            </w:pPr>
            <w:r w:rsidRPr="002245F9">
              <w:rPr>
                <w:rFonts w:cs="Arial"/>
              </w:rPr>
              <w:t>Zakup artykułów gospodarstwa domowego</w:t>
            </w:r>
          </w:p>
          <w:p w14:paraId="02A993DE" w14:textId="77777777" w:rsidR="00115B39" w:rsidRPr="002245F9" w:rsidRDefault="00115B39" w:rsidP="007C47BC">
            <w:pPr>
              <w:numPr>
                <w:ilvl w:val="0"/>
                <w:numId w:val="30"/>
              </w:numPr>
              <w:autoSpaceDE w:val="0"/>
              <w:autoSpaceDN w:val="0"/>
              <w:adjustRightInd w:val="0"/>
              <w:spacing w:before="120" w:after="120" w:line="360" w:lineRule="auto"/>
              <w:ind w:left="357" w:hanging="357"/>
              <w:rPr>
                <w:rFonts w:cs="Arial"/>
              </w:rPr>
            </w:pPr>
            <w:r w:rsidRPr="002245F9">
              <w:rPr>
                <w:rFonts w:cs="Arial"/>
              </w:rPr>
              <w:t>Zakup środków transportu</w:t>
            </w:r>
          </w:p>
          <w:p w14:paraId="3E9A5755" w14:textId="77777777" w:rsidR="00115B39" w:rsidRPr="002245F9" w:rsidRDefault="00115B39" w:rsidP="007C47BC">
            <w:pPr>
              <w:numPr>
                <w:ilvl w:val="0"/>
                <w:numId w:val="30"/>
              </w:numPr>
              <w:spacing w:before="120" w:after="120" w:line="360" w:lineRule="auto"/>
              <w:ind w:left="357" w:hanging="357"/>
              <w:rPr>
                <w:rFonts w:cs="Arial"/>
              </w:rPr>
            </w:pPr>
            <w:r w:rsidRPr="002245F9">
              <w:rPr>
                <w:rFonts w:cs="Arial"/>
              </w:rPr>
              <w:t>Wydatki na ulepszanie środków transportu</w:t>
            </w:r>
          </w:p>
          <w:p w14:paraId="42152DC0" w14:textId="77777777" w:rsidR="00115B39" w:rsidRPr="002245F9" w:rsidRDefault="00115B39" w:rsidP="007C47BC">
            <w:pPr>
              <w:numPr>
                <w:ilvl w:val="0"/>
                <w:numId w:val="30"/>
              </w:numPr>
              <w:autoSpaceDE w:val="0"/>
              <w:autoSpaceDN w:val="0"/>
              <w:adjustRightInd w:val="0"/>
              <w:spacing w:before="120" w:after="120" w:line="360" w:lineRule="auto"/>
              <w:ind w:left="357" w:hanging="357"/>
              <w:rPr>
                <w:rFonts w:cs="Arial"/>
              </w:rPr>
            </w:pPr>
            <w:r w:rsidRPr="002245F9">
              <w:rPr>
                <w:rFonts w:cs="Arial"/>
              </w:rPr>
              <w:t>Certyfikat jakości instytucji</w:t>
            </w:r>
          </w:p>
          <w:p w14:paraId="4188EF60" w14:textId="77777777" w:rsidR="00115B39" w:rsidRPr="002245F9" w:rsidRDefault="00115B39" w:rsidP="007C47BC">
            <w:pPr>
              <w:pStyle w:val="Akapit"/>
              <w:keepNext w:val="0"/>
              <w:numPr>
                <w:ilvl w:val="0"/>
                <w:numId w:val="30"/>
              </w:numPr>
              <w:tabs>
                <w:tab w:val="clear" w:pos="644"/>
              </w:tabs>
              <w:spacing w:before="120" w:after="120"/>
              <w:ind w:left="357" w:hanging="357"/>
              <w:jc w:val="left"/>
              <w:rPr>
                <w:rFonts w:ascii="Arial" w:hAnsi="Arial" w:cs="Arial"/>
              </w:rPr>
            </w:pPr>
            <w:r w:rsidRPr="002245F9">
              <w:rPr>
                <w:rFonts w:ascii="Arial" w:hAnsi="Arial" w:cs="Arial"/>
              </w:rPr>
              <w:t>Zakup nieruchomości</w:t>
            </w:r>
          </w:p>
          <w:p w14:paraId="3D53FA6F" w14:textId="77777777" w:rsidR="00115B39" w:rsidRPr="002245F9" w:rsidRDefault="00115B39" w:rsidP="007C47BC">
            <w:pPr>
              <w:pStyle w:val="Akapit"/>
              <w:keepNext w:val="0"/>
              <w:numPr>
                <w:ilvl w:val="0"/>
                <w:numId w:val="30"/>
              </w:numPr>
              <w:tabs>
                <w:tab w:val="clear" w:pos="644"/>
              </w:tabs>
              <w:spacing w:before="120" w:after="120"/>
              <w:ind w:left="357" w:hanging="357"/>
              <w:jc w:val="left"/>
              <w:rPr>
                <w:rFonts w:ascii="Arial" w:hAnsi="Arial" w:cs="Arial"/>
              </w:rPr>
            </w:pPr>
            <w:r w:rsidRPr="002245F9">
              <w:rPr>
                <w:rFonts w:ascii="Arial" w:hAnsi="Arial" w:cs="Arial"/>
              </w:rPr>
              <w:t>Wydatki związane z remontem lub modernizacją powierzchni, która nie jest bezpośrednio wykorzystana w trakcie realizacji zadań kwalifikowalnych, np. parking, elewacja budynku, tereny zielone</w:t>
            </w:r>
          </w:p>
          <w:p w14:paraId="59BB55E1" w14:textId="77777777" w:rsidR="00115B39" w:rsidRDefault="00115B39" w:rsidP="007C47BC">
            <w:pPr>
              <w:pStyle w:val="Akapit"/>
              <w:keepNext w:val="0"/>
              <w:numPr>
                <w:ilvl w:val="0"/>
                <w:numId w:val="30"/>
              </w:numPr>
              <w:tabs>
                <w:tab w:val="clear" w:pos="644"/>
              </w:tabs>
              <w:spacing w:before="120" w:after="120"/>
              <w:ind w:left="357" w:hanging="357"/>
              <w:jc w:val="left"/>
              <w:rPr>
                <w:rFonts w:ascii="Arial" w:hAnsi="Arial" w:cs="Arial"/>
              </w:rPr>
            </w:pPr>
            <w:r w:rsidRPr="002245F9">
              <w:rPr>
                <w:rFonts w:ascii="Arial" w:hAnsi="Arial" w:cs="Arial"/>
              </w:rPr>
              <w:t>Wydatki poniesione w związku z zawarciem umów cywilnoprawnych zawieranych przez daną instytucję z własnymi pracownikami (nie dotyczy umów używania samochodu prywatnego do celów służbowych)</w:t>
            </w:r>
          </w:p>
          <w:p w14:paraId="02DA859D" w14:textId="54833628" w:rsidR="00115B39" w:rsidRPr="002245F9" w:rsidRDefault="00115B39" w:rsidP="007C47BC">
            <w:pPr>
              <w:pStyle w:val="Akapit"/>
              <w:keepNext w:val="0"/>
              <w:numPr>
                <w:ilvl w:val="0"/>
                <w:numId w:val="30"/>
              </w:numPr>
              <w:tabs>
                <w:tab w:val="clear" w:pos="644"/>
              </w:tabs>
              <w:spacing w:before="120" w:after="120"/>
              <w:ind w:left="357" w:hanging="357"/>
              <w:jc w:val="left"/>
              <w:rPr>
                <w:rFonts w:ascii="Arial" w:hAnsi="Arial" w:cs="Arial"/>
              </w:rPr>
            </w:pPr>
            <w:r>
              <w:rPr>
                <w:rFonts w:ascii="Arial" w:hAnsi="Arial" w:cs="Arial"/>
              </w:rPr>
              <w:lastRenderedPageBreak/>
              <w:t>K</w:t>
            </w:r>
            <w:r w:rsidRPr="00502891">
              <w:rPr>
                <w:rFonts w:ascii="Arial" w:hAnsi="Arial" w:cs="Arial"/>
              </w:rPr>
              <w:t>oszty postępowania sądowego, wydatki związane z przygotowaniem i obsługą prawną spraw sądowych oraz wydatki poniesione na funkcjonowanie komisji rozjemczych: z wyjątkiem wydatków ponoszonych w przedmiotowym zakresie przez IZ/IP/</w:t>
            </w:r>
            <w:r w:rsidR="005F6922" w:rsidRPr="00502891">
              <w:rPr>
                <w:rFonts w:ascii="Arial" w:hAnsi="Arial" w:cs="Arial"/>
              </w:rPr>
              <w:t>I</w:t>
            </w:r>
            <w:r w:rsidR="005F6922">
              <w:rPr>
                <w:rFonts w:ascii="Arial" w:hAnsi="Arial" w:cs="Arial"/>
              </w:rPr>
              <w:t xml:space="preserve">W </w:t>
            </w:r>
            <w:r w:rsidRPr="00502891">
              <w:rPr>
                <w:rFonts w:ascii="Arial" w:hAnsi="Arial" w:cs="Arial"/>
              </w:rPr>
              <w:t>i na rzecz uczestników projektu</w:t>
            </w:r>
            <w:r w:rsidRPr="002245F9">
              <w:rPr>
                <w:rFonts w:ascii="Arial" w:hAnsi="Arial" w:cs="Arial"/>
              </w:rPr>
              <w:t>.</w:t>
            </w:r>
          </w:p>
        </w:tc>
      </w:tr>
    </w:tbl>
    <w:p w14:paraId="2438D74F" w14:textId="77777777" w:rsidR="00115B39" w:rsidRPr="002154B7" w:rsidRDefault="00115B39" w:rsidP="00C57D65">
      <w:pPr>
        <w:pStyle w:val="Nagwek2"/>
      </w:pPr>
      <w:bookmarkStart w:id="255" w:name="_Toc109128024"/>
      <w:bookmarkStart w:id="256" w:name="_Toc110601978"/>
      <w:r w:rsidRPr="002154B7">
        <w:lastRenderedPageBreak/>
        <w:t>Podrozdział 9.2 Zasady rozliczania wydatków na podstawie kosztów rzeczywistych</w:t>
      </w:r>
      <w:bookmarkEnd w:id="255"/>
      <w:bookmarkEnd w:id="256"/>
    </w:p>
    <w:p w14:paraId="33A8C2FF" w14:textId="77777777" w:rsidR="00115B39" w:rsidRPr="002154B7" w:rsidRDefault="00115B39" w:rsidP="007C47BC">
      <w:pPr>
        <w:pStyle w:val="Nagwek3"/>
      </w:pPr>
      <w:bookmarkStart w:id="257" w:name="_Toc88553312"/>
      <w:bookmarkStart w:id="258" w:name="_Toc95118933"/>
      <w:bookmarkStart w:id="259" w:name="_Toc109128025"/>
      <w:bookmarkStart w:id="260" w:name="_Toc110601979"/>
      <w:bookmarkEnd w:id="251"/>
      <w:bookmarkEnd w:id="252"/>
      <w:r>
        <w:t xml:space="preserve">Sekcja </w:t>
      </w:r>
      <w:r w:rsidRPr="002154B7">
        <w:t xml:space="preserve">9.2.1 </w:t>
      </w:r>
      <w:bookmarkEnd w:id="257"/>
      <w:bookmarkEnd w:id="258"/>
      <w:r w:rsidRPr="002154B7">
        <w:t>System finansowania wynagrodzeń</w:t>
      </w:r>
      <w:bookmarkEnd w:id="259"/>
      <w:bookmarkEnd w:id="260"/>
    </w:p>
    <w:p w14:paraId="6C4D8D8C" w14:textId="77777777" w:rsidR="00115B39" w:rsidRPr="002245F9" w:rsidRDefault="00115B39" w:rsidP="00115B39">
      <w:pPr>
        <w:pStyle w:val="Tytu"/>
        <w:numPr>
          <w:ilvl w:val="0"/>
          <w:numId w:val="9"/>
        </w:numPr>
        <w:spacing w:after="120" w:line="360" w:lineRule="auto"/>
        <w:ind w:left="357" w:hanging="357"/>
        <w:jc w:val="left"/>
        <w:rPr>
          <w:rFonts w:ascii="Arial" w:hAnsi="Arial" w:cs="Arial"/>
          <w:b w:val="0"/>
          <w:spacing w:val="4"/>
        </w:rPr>
      </w:pPr>
      <w:r w:rsidRPr="002245F9">
        <w:rPr>
          <w:rFonts w:ascii="Arial" w:hAnsi="Arial" w:cs="Arial"/>
          <w:b w:val="0"/>
          <w:spacing w:val="4"/>
        </w:rPr>
        <w:t>Podstawę do określenia poziomu kwalifikowalności wynagrodzenia stanowi opis stanowiska pracy (lub równoważny dokument, który potwierdza wykonywane zadania np. zakres obowiązków) wraz z oświadczeniem o</w:t>
      </w:r>
      <w:r>
        <w:rPr>
          <w:rFonts w:ascii="Arial" w:hAnsi="Arial" w:cs="Arial"/>
          <w:b w:val="0"/>
          <w:spacing w:val="4"/>
        </w:rPr>
        <w:t> </w:t>
      </w:r>
      <w:r w:rsidRPr="002245F9">
        <w:rPr>
          <w:rFonts w:ascii="Arial" w:hAnsi="Arial" w:cs="Arial"/>
          <w:b w:val="0"/>
          <w:spacing w:val="4"/>
        </w:rPr>
        <w:t>kwalifikowalności. Decyzją właściwej instytucji możliwe jest określenie poziomu kwalifikowalności na podstawie kart czasu pracy.</w:t>
      </w:r>
    </w:p>
    <w:p w14:paraId="763C16B0" w14:textId="77777777" w:rsidR="00115B39" w:rsidRPr="002245F9" w:rsidRDefault="00115B39" w:rsidP="00115B39">
      <w:pPr>
        <w:pStyle w:val="Tytu"/>
        <w:numPr>
          <w:ilvl w:val="0"/>
          <w:numId w:val="9"/>
        </w:numPr>
        <w:spacing w:after="120" w:line="360" w:lineRule="auto"/>
        <w:ind w:left="357" w:hanging="357"/>
        <w:jc w:val="left"/>
        <w:rPr>
          <w:rFonts w:ascii="Arial" w:hAnsi="Arial" w:cs="Arial"/>
          <w:b w:val="0"/>
        </w:rPr>
      </w:pPr>
      <w:r w:rsidRPr="002245F9">
        <w:rPr>
          <w:rFonts w:ascii="Arial" w:hAnsi="Arial" w:cs="Arial"/>
          <w:b w:val="0"/>
          <w:spacing w:val="4"/>
        </w:rPr>
        <w:t>Dokumenty, o których mowa w pkt 1, powinny określać co najmniej wymiar czasu pracy, zakres zadań oraz procentowy udział zadań kwalifikowalnych na stanowisku pracy – zwany dalej „poziomem kwalifikowalności stanowiska pracy” (w podziale na poszczególne programy jeżeli dotyczy) oraz datę, od której wykonywane są zadania wskazane w tym dokumencie a także powinny zostać oznakowane zgodnie z zasadami informacji i promocji.</w:t>
      </w:r>
    </w:p>
    <w:p w14:paraId="7A3F4E40" w14:textId="77777777" w:rsidR="00115B39" w:rsidRPr="002245F9" w:rsidRDefault="00115B39" w:rsidP="00115B39">
      <w:pPr>
        <w:pStyle w:val="Tytu"/>
        <w:numPr>
          <w:ilvl w:val="0"/>
          <w:numId w:val="9"/>
        </w:numPr>
        <w:spacing w:after="120" w:line="360" w:lineRule="auto"/>
        <w:ind w:left="357" w:hanging="357"/>
        <w:jc w:val="left"/>
        <w:rPr>
          <w:rFonts w:ascii="Arial" w:hAnsi="Arial" w:cs="Arial"/>
          <w:b w:val="0"/>
        </w:rPr>
      </w:pPr>
      <w:r w:rsidRPr="002245F9">
        <w:rPr>
          <w:rFonts w:ascii="Arial" w:hAnsi="Arial" w:cs="Arial"/>
          <w:b w:val="0"/>
        </w:rPr>
        <w:t>W</w:t>
      </w:r>
      <w:r w:rsidRPr="002245F9">
        <w:rPr>
          <w:rFonts w:ascii="Arial" w:eastAsia="Calibri" w:hAnsi="Arial" w:cs="Arial"/>
          <w:b w:val="0"/>
          <w:bCs w:val="0"/>
          <w:lang w:eastAsia="en-US"/>
        </w:rPr>
        <w:t xml:space="preserve"> ramach pomocy technicznej kwalifikowalne są wszystkie elementy wynagrodzenia </w:t>
      </w:r>
      <w:r w:rsidRPr="002245F9">
        <w:rPr>
          <w:rFonts w:ascii="Arial" w:hAnsi="Arial" w:cs="Arial"/>
          <w:b w:val="0"/>
        </w:rPr>
        <w:t xml:space="preserve">z wyjątkiem określonych w Tabeli - Wydatki niekwalifikowalne. </w:t>
      </w:r>
    </w:p>
    <w:p w14:paraId="69A9F83D" w14:textId="48C17A7E" w:rsidR="00115B39" w:rsidRPr="002245F9" w:rsidRDefault="00115B39" w:rsidP="00115B39">
      <w:pPr>
        <w:pStyle w:val="Tytu"/>
        <w:numPr>
          <w:ilvl w:val="0"/>
          <w:numId w:val="9"/>
        </w:numPr>
        <w:spacing w:after="120" w:line="360" w:lineRule="auto"/>
        <w:ind w:left="357" w:hanging="357"/>
        <w:jc w:val="left"/>
        <w:rPr>
          <w:rFonts w:ascii="Arial" w:hAnsi="Arial" w:cs="Arial"/>
          <w:b w:val="0"/>
        </w:rPr>
      </w:pPr>
      <w:r w:rsidRPr="002245F9">
        <w:rPr>
          <w:rFonts w:ascii="Arial" w:hAnsi="Arial" w:cs="Arial"/>
          <w:b w:val="0"/>
        </w:rPr>
        <w:t>Wydatki na wynagrodzenia osobowe oraz dodatkowe wynagrodzenia roczne należy rozliczać zgodnie z poziomem kwalifikowalności obowiązującym w dniu wypłaty</w:t>
      </w:r>
      <w:r>
        <w:rPr>
          <w:rFonts w:ascii="Arial" w:hAnsi="Arial" w:cs="Arial"/>
          <w:b w:val="0"/>
        </w:rPr>
        <w:t>, z zastrzeżeniem pkt 5</w:t>
      </w:r>
      <w:r w:rsidRPr="002245F9">
        <w:rPr>
          <w:rFonts w:ascii="Arial" w:hAnsi="Arial" w:cs="Arial"/>
          <w:b w:val="0"/>
        </w:rPr>
        <w:t>.</w:t>
      </w:r>
    </w:p>
    <w:p w14:paraId="38A53A44" w14:textId="77777777" w:rsidR="00115B39" w:rsidRDefault="00115B39" w:rsidP="00115B39">
      <w:pPr>
        <w:pStyle w:val="Akapitzlist"/>
        <w:numPr>
          <w:ilvl w:val="0"/>
          <w:numId w:val="9"/>
        </w:numPr>
        <w:spacing w:before="120" w:after="120" w:line="360" w:lineRule="auto"/>
        <w:ind w:left="357" w:hanging="357"/>
        <w:rPr>
          <w:rFonts w:cs="Arial"/>
          <w:spacing w:val="4"/>
        </w:rPr>
      </w:pPr>
      <w:r w:rsidRPr="002245F9">
        <w:rPr>
          <w:rFonts w:cs="Arial"/>
          <w:spacing w:val="4"/>
        </w:rPr>
        <w:t>W uzasadnionych przypadkach możliwe jest rozliczanie wydatków z poziomem kwalifikowalności okresu jakiego wydatek dotyczy. Uzasadnienie powinno być przedstawione we wniosku o dofinansowanie</w:t>
      </w:r>
      <w:r>
        <w:rPr>
          <w:rFonts w:cs="Arial"/>
          <w:spacing w:val="4"/>
        </w:rPr>
        <w:t>, np. f</w:t>
      </w:r>
      <w:r w:rsidRPr="00B44F5B">
        <w:rPr>
          <w:rFonts w:cs="Arial"/>
          <w:spacing w:val="4"/>
        </w:rPr>
        <w:t>inansowanie dodatków zadaniowych za zadania związane z oceną projektów</w:t>
      </w:r>
      <w:r>
        <w:rPr>
          <w:rFonts w:cs="Arial"/>
          <w:spacing w:val="4"/>
        </w:rPr>
        <w:t xml:space="preserve"> </w:t>
      </w:r>
      <w:r w:rsidRPr="00B44F5B">
        <w:rPr>
          <w:rFonts w:cs="Arial"/>
          <w:spacing w:val="4"/>
        </w:rPr>
        <w:t>zgodn</w:t>
      </w:r>
      <w:r>
        <w:rPr>
          <w:rFonts w:cs="Arial"/>
          <w:spacing w:val="4"/>
        </w:rPr>
        <w:t>i</w:t>
      </w:r>
      <w:r w:rsidRPr="00B44F5B">
        <w:rPr>
          <w:rFonts w:cs="Arial"/>
          <w:spacing w:val="4"/>
        </w:rPr>
        <w:t>e z</w:t>
      </w:r>
      <w:r>
        <w:rPr>
          <w:rFonts w:cs="Arial"/>
          <w:spacing w:val="4"/>
        </w:rPr>
        <w:t> </w:t>
      </w:r>
      <w:r w:rsidRPr="00B44F5B">
        <w:rPr>
          <w:rFonts w:cs="Arial"/>
          <w:spacing w:val="4"/>
        </w:rPr>
        <w:t>zaangażowaniem w realizację zadań kwalifikowalnych w danym okresie</w:t>
      </w:r>
      <w:r>
        <w:rPr>
          <w:rFonts w:cs="Arial"/>
          <w:spacing w:val="4"/>
        </w:rPr>
        <w:t>.</w:t>
      </w:r>
    </w:p>
    <w:p w14:paraId="35B91114" w14:textId="77777777" w:rsidR="00115B39" w:rsidRPr="00F46DE3" w:rsidRDefault="00115B39" w:rsidP="00C57D65">
      <w:pPr>
        <w:pStyle w:val="Nagwek3"/>
      </w:pPr>
      <w:bookmarkStart w:id="261" w:name="_Toc109128026"/>
      <w:bookmarkStart w:id="262" w:name="_Toc110601980"/>
      <w:r w:rsidRPr="00F46DE3">
        <w:lastRenderedPageBreak/>
        <w:t>Sekcja 9.2.1.1 Wypłaty z funduszu nagród, nagrody i premie</w:t>
      </w:r>
      <w:bookmarkEnd w:id="261"/>
      <w:bookmarkEnd w:id="262"/>
    </w:p>
    <w:p w14:paraId="17D105F5" w14:textId="77777777" w:rsidR="00115B39" w:rsidRPr="002245F9" w:rsidRDefault="00115B39" w:rsidP="00115B39">
      <w:pPr>
        <w:pStyle w:val="Akapitzlist"/>
        <w:numPr>
          <w:ilvl w:val="0"/>
          <w:numId w:val="24"/>
        </w:numPr>
        <w:spacing w:before="120" w:after="120" w:line="360" w:lineRule="auto"/>
        <w:ind w:left="357" w:hanging="357"/>
        <w:rPr>
          <w:rFonts w:cs="Arial"/>
          <w:spacing w:val="4"/>
        </w:rPr>
      </w:pPr>
      <w:r w:rsidRPr="002245F9">
        <w:rPr>
          <w:rFonts w:cs="Arial"/>
          <w:spacing w:val="4"/>
        </w:rPr>
        <w:t>Wypłaty z funduszu nagród, nagrody i premie są wydatkiem kwalifikowalnym, o</w:t>
      </w:r>
      <w:r>
        <w:rPr>
          <w:rFonts w:cs="Arial"/>
          <w:spacing w:val="4"/>
        </w:rPr>
        <w:t> </w:t>
      </w:r>
      <w:r w:rsidRPr="002245F9">
        <w:rPr>
          <w:rFonts w:cs="Arial"/>
          <w:spacing w:val="4"/>
        </w:rPr>
        <w:t>ile łącznie spełniają następujące warunki:</w:t>
      </w:r>
    </w:p>
    <w:p w14:paraId="48DE4BBD" w14:textId="77777777" w:rsidR="00115B39" w:rsidRPr="0099704A" w:rsidRDefault="00115B39" w:rsidP="00115B39">
      <w:pPr>
        <w:pStyle w:val="Akapitzlist"/>
        <w:numPr>
          <w:ilvl w:val="0"/>
          <w:numId w:val="31"/>
        </w:numPr>
        <w:spacing w:before="120" w:after="120" w:line="360" w:lineRule="auto"/>
        <w:ind w:left="714" w:hanging="357"/>
        <w:rPr>
          <w:rFonts w:cs="Arial"/>
          <w:spacing w:val="4"/>
        </w:rPr>
      </w:pPr>
      <w:r w:rsidRPr="0099704A">
        <w:rPr>
          <w:rFonts w:cs="Arial"/>
          <w:spacing w:val="4"/>
        </w:rPr>
        <w:t xml:space="preserve">ze środków pomocy technicznej finansowane jest wynagrodzenie zasadnicze danych pracowników, </w:t>
      </w:r>
    </w:p>
    <w:p w14:paraId="130C734B" w14:textId="69EB1F4B" w:rsidR="00115B39" w:rsidRPr="00ED05FD" w:rsidRDefault="00115B39" w:rsidP="00115B39">
      <w:pPr>
        <w:pStyle w:val="Akapitzlist"/>
        <w:numPr>
          <w:ilvl w:val="0"/>
          <w:numId w:val="31"/>
        </w:numPr>
        <w:spacing w:before="120" w:after="120" w:line="360" w:lineRule="auto"/>
        <w:ind w:left="714" w:hanging="357"/>
        <w:rPr>
          <w:rFonts w:cs="Arial"/>
          <w:spacing w:val="4"/>
        </w:rPr>
      </w:pPr>
      <w:r w:rsidRPr="0099704A">
        <w:rPr>
          <w:rFonts w:cs="Arial"/>
          <w:spacing w:val="4"/>
        </w:rPr>
        <w:t>nagrody i premie wynikają z powszechnie obowiązujących przepisów prawa</w:t>
      </w:r>
      <w:r w:rsidR="00BB3AEB">
        <w:rPr>
          <w:rFonts w:cs="Arial"/>
          <w:spacing w:val="4"/>
        </w:rPr>
        <w:t>, układów zbiorowych pracy</w:t>
      </w:r>
      <w:r w:rsidRPr="0099704A">
        <w:rPr>
          <w:rFonts w:cs="Arial"/>
          <w:spacing w:val="4"/>
        </w:rPr>
        <w:t xml:space="preserve"> lub regulaminu wynagradzania instytucji </w:t>
      </w:r>
      <w:r w:rsidRPr="0099704A">
        <w:rPr>
          <w:rFonts w:cs="Arial"/>
        </w:rPr>
        <w:t xml:space="preserve">i są udzielane na takich samych </w:t>
      </w:r>
      <w:r w:rsidRPr="00ED05FD">
        <w:rPr>
          <w:rFonts w:cs="Arial"/>
        </w:rPr>
        <w:t>zasadach jak innym pracownikom instytucji</w:t>
      </w:r>
      <w:r w:rsidRPr="00ED05FD">
        <w:rPr>
          <w:rFonts w:cs="Arial"/>
          <w:spacing w:val="4"/>
        </w:rPr>
        <w:t>.</w:t>
      </w:r>
    </w:p>
    <w:p w14:paraId="5FAFD1B8" w14:textId="41850512" w:rsidR="00115B39" w:rsidRPr="00ED05FD" w:rsidRDefault="00115B39" w:rsidP="00115B39">
      <w:pPr>
        <w:pStyle w:val="Akapitzlist"/>
        <w:numPr>
          <w:ilvl w:val="0"/>
          <w:numId w:val="24"/>
        </w:numPr>
        <w:spacing w:before="120" w:after="120" w:line="360" w:lineRule="auto"/>
        <w:ind w:left="357" w:hanging="357"/>
        <w:rPr>
          <w:rFonts w:cs="Arial"/>
        </w:rPr>
      </w:pPr>
      <w:r w:rsidRPr="00ED05FD">
        <w:rPr>
          <w:rFonts w:cs="Arial"/>
          <w:spacing w:val="4"/>
        </w:rPr>
        <w:t>Wypłaty z funduszu nagród</w:t>
      </w:r>
      <w:r w:rsidRPr="00ED05FD">
        <w:rPr>
          <w:rFonts w:cs="Arial"/>
        </w:rPr>
        <w:t xml:space="preserve">, nagrody i premie należy rozliczać zgodnie z poziomem kwalifikowalności obowiązującym w dniu wypłaty lub w 100%, z zastrzeżeniem pkt </w:t>
      </w:r>
      <w:r w:rsidR="00006844">
        <w:rPr>
          <w:rFonts w:cs="Arial"/>
        </w:rPr>
        <w:t>3</w:t>
      </w:r>
      <w:r w:rsidRPr="00ED05FD">
        <w:rPr>
          <w:rFonts w:cs="Arial"/>
        </w:rPr>
        <w:t>. Rozliczenie wskazanych wydatków w 100% możliwe jest w sytuacji ich przyznania jedynie za zadania kwalifikowalne.</w:t>
      </w:r>
    </w:p>
    <w:p w14:paraId="5AE7EA30" w14:textId="77777777" w:rsidR="00115B39" w:rsidRPr="002245F9" w:rsidRDefault="00115B39" w:rsidP="00115B39">
      <w:pPr>
        <w:pStyle w:val="Akapitzlist"/>
        <w:numPr>
          <w:ilvl w:val="0"/>
          <w:numId w:val="24"/>
        </w:numPr>
        <w:spacing w:before="120" w:after="120" w:line="360" w:lineRule="auto"/>
        <w:ind w:left="357" w:hanging="357"/>
        <w:rPr>
          <w:rFonts w:cs="Arial"/>
        </w:rPr>
      </w:pPr>
      <w:r w:rsidRPr="002245F9">
        <w:rPr>
          <w:rFonts w:cs="Arial"/>
        </w:rPr>
        <w:t xml:space="preserve">W przypadku, gdy stanowisko pracy jest zaangażowane w co najmniej dwa </w:t>
      </w:r>
      <w:r>
        <w:rPr>
          <w:rFonts w:cs="Arial"/>
        </w:rPr>
        <w:t>krajowe</w:t>
      </w:r>
      <w:r w:rsidRPr="002245F9">
        <w:rPr>
          <w:rFonts w:cs="Arial"/>
        </w:rPr>
        <w:t xml:space="preserve"> </w:t>
      </w:r>
      <w:r>
        <w:rPr>
          <w:rFonts w:cs="Arial"/>
        </w:rPr>
        <w:t xml:space="preserve">programy </w:t>
      </w:r>
      <w:r w:rsidRPr="002245F9">
        <w:rPr>
          <w:rFonts w:cs="Arial"/>
        </w:rPr>
        <w:t xml:space="preserve">wypłata z funduszu nagród, nagroda lub premia jest rozliczana proporcjonalnie do zaangażowania w realizację zadań w ramach </w:t>
      </w:r>
      <w:r>
        <w:rPr>
          <w:rFonts w:cs="Arial"/>
        </w:rPr>
        <w:t>krajowych programów</w:t>
      </w:r>
      <w:r w:rsidRPr="002245F9">
        <w:rPr>
          <w:rFonts w:cs="Arial"/>
        </w:rPr>
        <w:t xml:space="preserve">. </w:t>
      </w:r>
    </w:p>
    <w:p w14:paraId="0E101094" w14:textId="77777777" w:rsidR="00115B39" w:rsidRPr="002245F9" w:rsidRDefault="00115B39" w:rsidP="00115B39">
      <w:pPr>
        <w:pStyle w:val="Akapitzlist"/>
        <w:numPr>
          <w:ilvl w:val="0"/>
          <w:numId w:val="24"/>
        </w:numPr>
        <w:spacing w:before="120" w:after="120" w:line="360" w:lineRule="auto"/>
        <w:ind w:left="357" w:hanging="357"/>
        <w:rPr>
          <w:rFonts w:cs="Arial"/>
        </w:rPr>
      </w:pPr>
      <w:r w:rsidRPr="00593415">
        <w:rPr>
          <w:rFonts w:cs="Arial"/>
        </w:rPr>
        <w:t>IZ decydują o refundacji (lub jej braku) wydatków poniesionych przez instytucje na płacowe instrumenty motywacyjne dla pracowników. Przed podjęciem decyzji IZ</w:t>
      </w:r>
      <w:r w:rsidRPr="0099704A">
        <w:rPr>
          <w:rFonts w:cs="Arial"/>
        </w:rPr>
        <w:t xml:space="preserve"> mogą przeprowadzić ocenę efektywności działań instytucji na podstawie wybranych kryteriów.</w:t>
      </w:r>
      <w:r>
        <w:rPr>
          <w:rFonts w:cs="Arial"/>
        </w:rPr>
        <w:t xml:space="preserve"> </w:t>
      </w:r>
      <w:r w:rsidRPr="002245F9">
        <w:rPr>
          <w:rFonts w:cs="Arial"/>
        </w:rPr>
        <w:t xml:space="preserve">Dopuszczalne są także inne formy oceny efektywności instytucji oraz mechanizmy motywacyjne dla instytucji, opracowane przez poszczególne </w:t>
      </w:r>
      <w:r w:rsidRPr="005F4459">
        <w:rPr>
          <w:rFonts w:cs="Arial"/>
        </w:rPr>
        <w:t>IZ</w:t>
      </w:r>
      <w:r>
        <w:rPr>
          <w:rFonts w:cs="Arial"/>
        </w:rPr>
        <w:t xml:space="preserve"> </w:t>
      </w:r>
      <w:r w:rsidRPr="002245F9">
        <w:rPr>
          <w:rFonts w:cs="Arial"/>
        </w:rPr>
        <w:t>na podstawie wiedzy i doświadczeń uwzględniających specyfikę danego programu/priorytetu czy obszaru wsparcia.</w:t>
      </w:r>
    </w:p>
    <w:p w14:paraId="1958A8C7" w14:textId="77777777" w:rsidR="00115B39" w:rsidRPr="0099704A" w:rsidRDefault="00115B39" w:rsidP="00C57D65">
      <w:pPr>
        <w:pStyle w:val="Nagwek3"/>
      </w:pPr>
      <w:bookmarkStart w:id="263" w:name="_Toc109128027"/>
      <w:bookmarkStart w:id="264" w:name="_Toc110601981"/>
      <w:r w:rsidRPr="0099704A">
        <w:t>Sekcja 9.2.1.2 Wynagrodzenie za czas urlopu</w:t>
      </w:r>
      <w:bookmarkEnd w:id="263"/>
      <w:bookmarkEnd w:id="264"/>
    </w:p>
    <w:p w14:paraId="794F97CE" w14:textId="77777777" w:rsidR="00115B39" w:rsidRPr="002245F9" w:rsidRDefault="00115B39" w:rsidP="007C47BC">
      <w:pPr>
        <w:spacing w:before="120" w:after="120" w:line="360" w:lineRule="auto"/>
        <w:ind w:left="357" w:hanging="357"/>
        <w:rPr>
          <w:rFonts w:cs="Arial"/>
          <w:spacing w:val="4"/>
        </w:rPr>
      </w:pPr>
      <w:r w:rsidRPr="002245F9">
        <w:rPr>
          <w:rFonts w:cs="Arial"/>
          <w:spacing w:val="4"/>
        </w:rPr>
        <w:t>1)</w:t>
      </w:r>
      <w:r w:rsidRPr="002245F9">
        <w:rPr>
          <w:rFonts w:cs="Arial"/>
          <w:spacing w:val="4"/>
        </w:rPr>
        <w:tab/>
        <w:t>Wynagrodzenie oraz ekwiwalent za urlop wypoczynkowy lub dodatkowy urlop wypoczynkowy jest rozliczane zgodnie z poziomem kwalifikowalności wynagrodzenia, którego dotyczy.</w:t>
      </w:r>
    </w:p>
    <w:p w14:paraId="7D7FBEE8" w14:textId="77777777" w:rsidR="00115B39" w:rsidRPr="002245F9" w:rsidRDefault="00115B39" w:rsidP="007C47BC">
      <w:pPr>
        <w:spacing w:before="120" w:after="120" w:line="360" w:lineRule="auto"/>
        <w:ind w:left="357"/>
        <w:rPr>
          <w:rFonts w:cs="Arial"/>
          <w:spacing w:val="4"/>
        </w:rPr>
      </w:pPr>
      <w:r w:rsidRPr="002245F9">
        <w:rPr>
          <w:rFonts w:cs="Arial"/>
          <w:b/>
          <w:bCs/>
          <w:spacing w:val="4"/>
        </w:rPr>
        <w:t>Przykład</w:t>
      </w:r>
      <w:r>
        <w:rPr>
          <w:rFonts w:cs="Arial"/>
          <w:b/>
          <w:bCs/>
          <w:spacing w:val="4"/>
        </w:rPr>
        <w:t xml:space="preserve"> 1</w:t>
      </w:r>
      <w:r w:rsidRPr="002245F9">
        <w:rPr>
          <w:rFonts w:cs="Arial"/>
          <w:b/>
          <w:bCs/>
          <w:spacing w:val="4"/>
        </w:rPr>
        <w:t>:</w:t>
      </w:r>
      <w:r w:rsidRPr="002245F9">
        <w:rPr>
          <w:rFonts w:cs="Arial"/>
          <w:spacing w:val="4"/>
        </w:rPr>
        <w:t xml:space="preserve"> Pracownik w danym miesiącu wykonywał zadania w 50% kwalifikowalne (na podstawie opisu stanowiska/karty czasu pracy) z czego 7</w:t>
      </w:r>
      <w:r>
        <w:rPr>
          <w:rFonts w:cs="Arial"/>
          <w:spacing w:val="4"/>
        </w:rPr>
        <w:t> </w:t>
      </w:r>
      <w:r w:rsidRPr="002245F9">
        <w:rPr>
          <w:rFonts w:cs="Arial"/>
          <w:spacing w:val="4"/>
        </w:rPr>
        <w:t>dni przebywał na urlopie, wynagrodzenie za ten miesiąc jest kwalifikowalne w</w:t>
      </w:r>
      <w:r>
        <w:rPr>
          <w:rFonts w:cs="Arial"/>
          <w:spacing w:val="4"/>
        </w:rPr>
        <w:t> </w:t>
      </w:r>
      <w:r w:rsidRPr="002245F9">
        <w:rPr>
          <w:rFonts w:cs="Arial"/>
          <w:spacing w:val="4"/>
        </w:rPr>
        <w:t>50%.</w:t>
      </w:r>
    </w:p>
    <w:p w14:paraId="28CBBAE6" w14:textId="77777777" w:rsidR="00115B39" w:rsidRPr="002245F9" w:rsidRDefault="00115B39" w:rsidP="007C47BC">
      <w:pPr>
        <w:spacing w:before="120" w:after="120" w:line="360" w:lineRule="auto"/>
        <w:ind w:left="357" w:hanging="357"/>
        <w:rPr>
          <w:rFonts w:cs="Arial"/>
          <w:spacing w:val="4"/>
        </w:rPr>
      </w:pPr>
      <w:r w:rsidRPr="002245F9">
        <w:rPr>
          <w:rFonts w:cs="Arial"/>
          <w:spacing w:val="4"/>
        </w:rPr>
        <w:lastRenderedPageBreak/>
        <w:t>2)</w:t>
      </w:r>
      <w:r w:rsidRPr="002245F9">
        <w:rPr>
          <w:rFonts w:cs="Arial"/>
          <w:spacing w:val="4"/>
        </w:rPr>
        <w:tab/>
        <w:t>Urlop szkoleniowy jest rozliczany zgodnie z poziomem kwalifikowalności określonym w opisie stanowiska pracy/karcie czasu pracy oraz zgodnie z</w:t>
      </w:r>
      <w:r>
        <w:rPr>
          <w:rFonts w:cs="Arial"/>
          <w:spacing w:val="4"/>
        </w:rPr>
        <w:t> </w:t>
      </w:r>
      <w:r w:rsidRPr="002245F9">
        <w:rPr>
          <w:rFonts w:cs="Arial"/>
          <w:spacing w:val="4"/>
        </w:rPr>
        <w:t>zasadami i regulaminami obowiązującymi w instytucji.</w:t>
      </w:r>
    </w:p>
    <w:p w14:paraId="2ACDE3B2" w14:textId="77777777" w:rsidR="00115B39" w:rsidRPr="00F16390" w:rsidRDefault="00115B39" w:rsidP="00C57D65">
      <w:pPr>
        <w:pStyle w:val="Nagwek3"/>
      </w:pPr>
      <w:bookmarkStart w:id="265" w:name="_Toc109128028"/>
      <w:bookmarkStart w:id="266" w:name="_Toc110601982"/>
      <w:r w:rsidRPr="00F16390">
        <w:t>Sekcja 9.2.1.3 Inne składniki wynagrodzenia za pracę</w:t>
      </w:r>
      <w:bookmarkEnd w:id="265"/>
      <w:bookmarkEnd w:id="266"/>
    </w:p>
    <w:p w14:paraId="37A4EAD9" w14:textId="77777777" w:rsidR="00115B39" w:rsidRPr="002245F9" w:rsidRDefault="00115B39" w:rsidP="007C47BC">
      <w:pPr>
        <w:spacing w:before="120" w:after="120" w:line="360" w:lineRule="auto"/>
        <w:ind w:left="357" w:hanging="357"/>
        <w:contextualSpacing/>
        <w:rPr>
          <w:rFonts w:cs="Arial"/>
          <w:spacing w:val="4"/>
        </w:rPr>
      </w:pPr>
      <w:r w:rsidRPr="002245F9">
        <w:rPr>
          <w:rFonts w:cs="Arial"/>
          <w:spacing w:val="4"/>
        </w:rPr>
        <w:t>1)</w:t>
      </w:r>
      <w:r w:rsidRPr="002245F9">
        <w:rPr>
          <w:rFonts w:cs="Arial"/>
          <w:spacing w:val="4"/>
        </w:rPr>
        <w:tab/>
        <w:t>Dodatki zadaniowe, specjalne oraz inne wypłacane z tytułu czasowego nałożenia przez pracodawcę dodatkowych zadań są kwalifikowalne, o ile łącznie spełniają następujące warunki:</w:t>
      </w:r>
    </w:p>
    <w:p w14:paraId="4CD24FBD" w14:textId="77777777" w:rsidR="00115B39" w:rsidRPr="002245F9" w:rsidRDefault="00115B39" w:rsidP="007C47BC">
      <w:pPr>
        <w:spacing w:before="120" w:after="120" w:line="360" w:lineRule="auto"/>
        <w:ind w:left="714" w:hanging="357"/>
        <w:contextualSpacing/>
        <w:rPr>
          <w:rFonts w:cs="Arial"/>
          <w:spacing w:val="4"/>
        </w:rPr>
      </w:pPr>
      <w:r w:rsidRPr="002245F9">
        <w:rPr>
          <w:rFonts w:cs="Arial"/>
          <w:spacing w:val="4"/>
        </w:rPr>
        <w:t>a)</w:t>
      </w:r>
      <w:r w:rsidRPr="002245F9">
        <w:rPr>
          <w:rFonts w:cs="Arial"/>
          <w:spacing w:val="4"/>
        </w:rPr>
        <w:tab/>
        <w:t>ze środków pomocy technicznej finansowane jest wynagrodzenie zasadnicze danych pracowników, z zastrzeżeniem pkt 5,</w:t>
      </w:r>
    </w:p>
    <w:p w14:paraId="3B49D562" w14:textId="77777777" w:rsidR="00115B39" w:rsidRPr="002245F9" w:rsidRDefault="00115B39" w:rsidP="007C47BC">
      <w:pPr>
        <w:spacing w:before="120" w:after="120" w:line="360" w:lineRule="auto"/>
        <w:ind w:left="714" w:hanging="357"/>
        <w:contextualSpacing/>
        <w:rPr>
          <w:rFonts w:cs="Arial"/>
          <w:spacing w:val="4"/>
        </w:rPr>
      </w:pPr>
      <w:r w:rsidRPr="002245F9">
        <w:rPr>
          <w:rFonts w:cs="Arial"/>
          <w:spacing w:val="4"/>
        </w:rPr>
        <w:t>b)</w:t>
      </w:r>
      <w:r w:rsidRPr="002245F9">
        <w:rPr>
          <w:rFonts w:cs="Arial"/>
          <w:spacing w:val="4"/>
        </w:rPr>
        <w:tab/>
        <w:t xml:space="preserve">dotyczą zadań w zakresie funduszy polityki spójności, </w:t>
      </w:r>
    </w:p>
    <w:p w14:paraId="1A8BF4A2" w14:textId="77777777" w:rsidR="00115B39" w:rsidRPr="002245F9" w:rsidRDefault="00115B39" w:rsidP="007C47BC">
      <w:pPr>
        <w:spacing w:before="120" w:after="120" w:line="360" w:lineRule="auto"/>
        <w:ind w:left="714" w:hanging="357"/>
        <w:contextualSpacing/>
        <w:rPr>
          <w:rFonts w:cs="Arial"/>
          <w:spacing w:val="4"/>
        </w:rPr>
      </w:pPr>
      <w:r w:rsidRPr="002245F9">
        <w:rPr>
          <w:rFonts w:cs="Arial"/>
          <w:spacing w:val="4"/>
        </w:rPr>
        <w:t>c)</w:t>
      </w:r>
      <w:r w:rsidRPr="002245F9">
        <w:rPr>
          <w:rFonts w:cs="Arial"/>
          <w:spacing w:val="4"/>
        </w:rPr>
        <w:tab/>
        <w:t>zostały wypłacone zgodnie z przepisami, na podstawie których zostały przyznane i są przyznawane na takich samych zasadach jak innym pracownikom instytucji.</w:t>
      </w:r>
    </w:p>
    <w:p w14:paraId="0634B123" w14:textId="089C5EF0" w:rsidR="00115B39" w:rsidRPr="002245F9" w:rsidRDefault="00115B39" w:rsidP="007C47BC">
      <w:pPr>
        <w:spacing w:before="120" w:after="120" w:line="360" w:lineRule="auto"/>
        <w:ind w:left="357" w:hanging="357"/>
        <w:rPr>
          <w:rFonts w:cs="Arial"/>
          <w:spacing w:val="4"/>
        </w:rPr>
      </w:pPr>
      <w:r w:rsidRPr="002245F9">
        <w:rPr>
          <w:rFonts w:cs="Arial"/>
          <w:spacing w:val="4"/>
        </w:rPr>
        <w:t>2)</w:t>
      </w:r>
      <w:r w:rsidRPr="002245F9">
        <w:rPr>
          <w:rFonts w:cs="Arial"/>
          <w:spacing w:val="4"/>
        </w:rPr>
        <w:tab/>
        <w:t>Kwalifikowalne są również inne dodatki do wynagrodzeń wynikające z</w:t>
      </w:r>
      <w:r>
        <w:rPr>
          <w:rFonts w:cs="Arial"/>
          <w:spacing w:val="4"/>
        </w:rPr>
        <w:t> </w:t>
      </w:r>
      <w:r w:rsidRPr="002245F9">
        <w:rPr>
          <w:rFonts w:cs="Arial"/>
          <w:spacing w:val="4"/>
        </w:rPr>
        <w:t>obowiązujących przepisów prawa</w:t>
      </w:r>
      <w:r w:rsidR="00A004F8">
        <w:rPr>
          <w:rFonts w:cs="Arial"/>
          <w:spacing w:val="4"/>
        </w:rPr>
        <w:t>, układów zbiorowych pracy</w:t>
      </w:r>
      <w:r w:rsidRPr="002245F9">
        <w:rPr>
          <w:rFonts w:cs="Arial"/>
          <w:spacing w:val="4"/>
        </w:rPr>
        <w:t xml:space="preserve"> oraz regulaminów wewnętrznych</w:t>
      </w:r>
      <w:r>
        <w:rPr>
          <w:rFonts w:cs="Arial"/>
          <w:spacing w:val="4"/>
        </w:rPr>
        <w:t xml:space="preserve"> </w:t>
      </w:r>
      <w:r w:rsidRPr="002245F9">
        <w:rPr>
          <w:rFonts w:cs="Arial"/>
          <w:spacing w:val="4"/>
        </w:rPr>
        <w:t xml:space="preserve">(np. dodatek kontrolerski dla </w:t>
      </w:r>
      <w:r>
        <w:rPr>
          <w:rFonts w:cs="Arial"/>
          <w:spacing w:val="4"/>
        </w:rPr>
        <w:t>stanowisk</w:t>
      </w:r>
      <w:r w:rsidRPr="002245F9">
        <w:rPr>
          <w:rFonts w:cs="Arial"/>
          <w:spacing w:val="4"/>
        </w:rPr>
        <w:t xml:space="preserve"> podległych ministrowi właściwemu do spraw finansów publicznych, dodatki motywacyjne, funkcyjne, służbowe, itp.). </w:t>
      </w:r>
    </w:p>
    <w:p w14:paraId="2E7C4DBA" w14:textId="2020FE9C" w:rsidR="00115B39" w:rsidRPr="002245F9" w:rsidRDefault="00115B39" w:rsidP="007C47BC">
      <w:pPr>
        <w:spacing w:before="120" w:after="120" w:line="360" w:lineRule="auto"/>
        <w:ind w:left="357" w:hanging="357"/>
        <w:rPr>
          <w:rFonts w:cs="Arial"/>
          <w:spacing w:val="4"/>
        </w:rPr>
      </w:pPr>
      <w:r w:rsidRPr="002245F9">
        <w:rPr>
          <w:rFonts w:cs="Arial"/>
          <w:spacing w:val="4"/>
        </w:rPr>
        <w:t>3)</w:t>
      </w:r>
      <w:r w:rsidRPr="002245F9">
        <w:rPr>
          <w:rFonts w:cs="Arial"/>
          <w:spacing w:val="4"/>
        </w:rPr>
        <w:tab/>
      </w:r>
      <w:r w:rsidR="009D364F">
        <w:rPr>
          <w:rFonts w:cs="Arial"/>
          <w:spacing w:val="4"/>
        </w:rPr>
        <w:t>Dodatki, o których mowa w pkt 1 i 2</w:t>
      </w:r>
      <w:r w:rsidRPr="002245F9">
        <w:rPr>
          <w:rFonts w:cs="Arial"/>
          <w:spacing w:val="4"/>
        </w:rPr>
        <w:t xml:space="preserve"> są kwalifikowalne zgodnie z poziomem kwalifikowalności określonym w opisie stanowiska pracy lub zgodnie ze średnim poziomem kwalifikowalności wynagrodzenia danego pracownika w okresie, którego dodatek dotyczy, określonym w karcie czasu pracy, z zastrzeżeniem pkt 4.</w:t>
      </w:r>
    </w:p>
    <w:p w14:paraId="71BEB361" w14:textId="77777777" w:rsidR="00115B39" w:rsidRPr="002245F9" w:rsidRDefault="00115B39" w:rsidP="007C47BC">
      <w:pPr>
        <w:spacing w:before="120" w:after="120" w:line="360" w:lineRule="auto"/>
        <w:ind w:left="357" w:hanging="357"/>
        <w:rPr>
          <w:rFonts w:cs="Arial"/>
          <w:spacing w:val="4"/>
        </w:rPr>
      </w:pPr>
      <w:r w:rsidRPr="002245F9">
        <w:rPr>
          <w:rFonts w:cs="Arial"/>
          <w:spacing w:val="4"/>
        </w:rPr>
        <w:t>4)</w:t>
      </w:r>
      <w:r w:rsidRPr="002245F9">
        <w:rPr>
          <w:rFonts w:cs="Arial"/>
          <w:spacing w:val="4"/>
        </w:rPr>
        <w:tab/>
      </w:r>
      <w:r>
        <w:rPr>
          <w:rFonts w:cs="Arial"/>
          <w:spacing w:val="4"/>
        </w:rPr>
        <w:t>W przypadku stanowisk kwalifikowalnych w stopniu mniejszym niż 100% i</w:t>
      </w:r>
      <w:r w:rsidRPr="002245F9">
        <w:rPr>
          <w:rFonts w:cs="Arial"/>
          <w:spacing w:val="4"/>
        </w:rPr>
        <w:t xml:space="preserve">stnieje możliwość rozliczenia dodatku w całości ze środków pomocy technicznej, pod warunkiem udokumentowania, że został on przyznany wyłącznie za realizację zadań związanych z wdrażaniem funduszy polityki spójności. W celu potwierdzenia kwalifikowalności wydatku </w:t>
      </w:r>
      <w:r w:rsidRPr="005F4459">
        <w:rPr>
          <w:rFonts w:cs="Arial"/>
          <w:spacing w:val="4"/>
        </w:rPr>
        <w:t>właściwa instytucja</w:t>
      </w:r>
      <w:r w:rsidRPr="002245F9">
        <w:rPr>
          <w:rFonts w:cs="Arial"/>
          <w:spacing w:val="4"/>
        </w:rPr>
        <w:t xml:space="preserve"> może żądać uzasadnienia przyznania dodatku.</w:t>
      </w:r>
    </w:p>
    <w:p w14:paraId="3BF49623" w14:textId="77777777" w:rsidR="00115B39" w:rsidRPr="002245F9" w:rsidRDefault="00115B39" w:rsidP="007C47BC">
      <w:pPr>
        <w:spacing w:before="120" w:after="120" w:line="360" w:lineRule="auto"/>
        <w:ind w:left="357" w:hanging="357"/>
        <w:rPr>
          <w:rFonts w:cs="Arial"/>
          <w:spacing w:val="4"/>
        </w:rPr>
      </w:pPr>
      <w:r w:rsidRPr="002245F9">
        <w:rPr>
          <w:rFonts w:cs="Arial"/>
          <w:spacing w:val="4"/>
        </w:rPr>
        <w:t>5)</w:t>
      </w:r>
      <w:r w:rsidRPr="002245F9">
        <w:rPr>
          <w:rFonts w:cs="Arial"/>
          <w:spacing w:val="4"/>
        </w:rPr>
        <w:tab/>
        <w:t xml:space="preserve">W uzasadnionych przypadkach, pod warunkiem uzyskania zgody właściwej instytucji, możliwe jest rozliczenie ze środków pomocy technicznej wydatków związanych z dodatkami przyznanymi pracownikom, których wynagrodzenie </w:t>
      </w:r>
      <w:r w:rsidRPr="002245F9">
        <w:rPr>
          <w:rFonts w:cs="Arial"/>
          <w:spacing w:val="4"/>
        </w:rPr>
        <w:lastRenderedPageBreak/>
        <w:t>zasadnicze nie jest rozliczane w danym okresie ze środków pomocy technicznej.</w:t>
      </w:r>
    </w:p>
    <w:p w14:paraId="313086F8" w14:textId="77777777" w:rsidR="00115B39" w:rsidRPr="002245F9" w:rsidRDefault="00115B39" w:rsidP="007C47BC">
      <w:pPr>
        <w:spacing w:before="120" w:after="120" w:line="360" w:lineRule="auto"/>
        <w:ind w:left="357" w:hanging="357"/>
        <w:rPr>
          <w:rFonts w:cs="Arial"/>
          <w:spacing w:val="4"/>
        </w:rPr>
      </w:pPr>
      <w:r w:rsidRPr="002245F9">
        <w:rPr>
          <w:rFonts w:cs="Arial"/>
          <w:spacing w:val="4"/>
        </w:rPr>
        <w:t>6)</w:t>
      </w:r>
      <w:r w:rsidRPr="002245F9">
        <w:rPr>
          <w:rFonts w:cs="Arial"/>
          <w:spacing w:val="4"/>
        </w:rPr>
        <w:tab/>
        <w:t>W przypadku, gdy stanowisko pracy zaangażowane jest w realizację co najmniej dwóch programów, dodatek jest rozliczany proporcjonalnie do zaangażowania w realizację zadań w ramach programów.</w:t>
      </w:r>
    </w:p>
    <w:p w14:paraId="2DB6B229" w14:textId="77777777" w:rsidR="00115B39" w:rsidRPr="00185012" w:rsidRDefault="00115B39" w:rsidP="00C57D65">
      <w:pPr>
        <w:pStyle w:val="Nagwek3"/>
      </w:pPr>
      <w:bookmarkStart w:id="267" w:name="_Toc88553313"/>
      <w:bookmarkStart w:id="268" w:name="_Toc95118934"/>
      <w:bookmarkStart w:id="269" w:name="_Toc109128029"/>
      <w:bookmarkStart w:id="270" w:name="_Toc110601983"/>
      <w:r w:rsidRPr="00185012">
        <w:t>Sekcja 9.2.</w:t>
      </w:r>
      <w:bookmarkEnd w:id="267"/>
      <w:bookmarkEnd w:id="268"/>
      <w:r w:rsidRPr="00185012">
        <w:t xml:space="preserve">1.4 </w:t>
      </w:r>
      <w:r>
        <w:t>Szkolenia</w:t>
      </w:r>
      <w:bookmarkEnd w:id="269"/>
      <w:bookmarkEnd w:id="270"/>
    </w:p>
    <w:p w14:paraId="54DD8F1B" w14:textId="77777777" w:rsidR="00115B39" w:rsidRPr="002245F9" w:rsidRDefault="00115B39" w:rsidP="00115B39">
      <w:pPr>
        <w:pStyle w:val="Akapitzlist"/>
        <w:numPr>
          <w:ilvl w:val="0"/>
          <w:numId w:val="10"/>
        </w:numPr>
        <w:spacing w:before="120" w:after="120" w:line="360" w:lineRule="auto"/>
        <w:ind w:left="357" w:hanging="357"/>
        <w:contextualSpacing w:val="0"/>
        <w:rPr>
          <w:rFonts w:cs="Arial"/>
          <w:spacing w:val="4"/>
        </w:rPr>
      </w:pPr>
      <w:r>
        <w:rPr>
          <w:rFonts w:cs="Arial"/>
          <w:spacing w:val="4"/>
        </w:rPr>
        <w:t>Ze środków</w:t>
      </w:r>
      <w:r w:rsidRPr="002245F9">
        <w:rPr>
          <w:rFonts w:cs="Arial"/>
          <w:spacing w:val="4"/>
        </w:rPr>
        <w:t xml:space="preserve"> pomocy technicznej możliwe jest finansowanie zarówno indywidualnych szkoleń, jak i wydatków związanych z przygotowaniem i</w:t>
      </w:r>
      <w:r>
        <w:rPr>
          <w:rFonts w:cs="Arial"/>
          <w:spacing w:val="4"/>
        </w:rPr>
        <w:t> </w:t>
      </w:r>
      <w:r w:rsidRPr="002245F9">
        <w:rPr>
          <w:rFonts w:cs="Arial"/>
          <w:spacing w:val="4"/>
        </w:rPr>
        <w:t>przeprowadzeniem szkoleń (m.in. wynajem pomieszczeń, zakwaterowanie, transport, wyżywienie uczestników szkoleń, zakup usług szkoleniowych i</w:t>
      </w:r>
      <w:r>
        <w:rPr>
          <w:rFonts w:cs="Arial"/>
          <w:spacing w:val="4"/>
        </w:rPr>
        <w:t> </w:t>
      </w:r>
      <w:r w:rsidRPr="002245F9">
        <w:rPr>
          <w:rFonts w:cs="Arial"/>
          <w:spacing w:val="4"/>
        </w:rPr>
        <w:t xml:space="preserve">dydaktycznych niezbędnych do przeprowadzenia szkolenia). </w:t>
      </w:r>
    </w:p>
    <w:p w14:paraId="52C7F233" w14:textId="364A66FB" w:rsidR="00115B39" w:rsidRPr="002245F9" w:rsidRDefault="00115B39" w:rsidP="00115B39">
      <w:pPr>
        <w:pStyle w:val="Akapitzlist"/>
        <w:numPr>
          <w:ilvl w:val="0"/>
          <w:numId w:val="10"/>
        </w:numPr>
        <w:spacing w:before="120" w:after="120" w:line="360" w:lineRule="auto"/>
        <w:ind w:left="357" w:hanging="357"/>
        <w:rPr>
          <w:rFonts w:cs="Arial"/>
          <w:spacing w:val="4"/>
        </w:rPr>
      </w:pPr>
      <w:r w:rsidRPr="002245F9">
        <w:rPr>
          <w:rFonts w:cs="Arial"/>
          <w:spacing w:val="4"/>
        </w:rPr>
        <w:t>Pod pojęciem szkolenia należy rozumieć wszystkie dostępne formy kształcenia (krajowe i zagraniczne) tj.: szkolenia, e-learning, warsztaty, seminaria, staże, kursy, kursy kończące się certyfikatem (np. CIA, CGAP i</w:t>
      </w:r>
      <w:r>
        <w:rPr>
          <w:rFonts w:cs="Arial"/>
          <w:spacing w:val="4"/>
        </w:rPr>
        <w:t> </w:t>
      </w:r>
      <w:r w:rsidRPr="002245F9">
        <w:rPr>
          <w:rFonts w:cs="Arial"/>
          <w:spacing w:val="4"/>
        </w:rPr>
        <w:t>inne), wizyty studyjne, studia I, II i III stopnia, studia podyplomowe, aplikacje radcowskie, wzajemne uczenie się tj. benchlearning, współpraca i wymiana bliźniacza, itp.</w:t>
      </w:r>
      <w:r>
        <w:rPr>
          <w:rFonts w:cs="Arial"/>
          <w:spacing w:val="4"/>
        </w:rPr>
        <w:t xml:space="preserve"> D</w:t>
      </w:r>
      <w:r w:rsidRPr="00A52F5F">
        <w:rPr>
          <w:rFonts w:cs="Arial"/>
          <w:spacing w:val="4"/>
        </w:rPr>
        <w:t>ecyzję</w:t>
      </w:r>
      <w:r>
        <w:rPr>
          <w:rFonts w:cs="Arial"/>
          <w:spacing w:val="4"/>
        </w:rPr>
        <w:t xml:space="preserve"> w</w:t>
      </w:r>
      <w:r w:rsidRPr="00A52F5F">
        <w:rPr>
          <w:rFonts w:cs="Arial"/>
          <w:spacing w:val="4"/>
        </w:rPr>
        <w:t xml:space="preserve"> zakresie</w:t>
      </w:r>
      <w:r>
        <w:rPr>
          <w:rFonts w:cs="Arial"/>
          <w:spacing w:val="4"/>
        </w:rPr>
        <w:t xml:space="preserve"> fina</w:t>
      </w:r>
      <w:r w:rsidR="00A04235">
        <w:rPr>
          <w:rFonts w:cs="Arial"/>
          <w:spacing w:val="4"/>
        </w:rPr>
        <w:t>n</w:t>
      </w:r>
      <w:r>
        <w:rPr>
          <w:rFonts w:cs="Arial"/>
          <w:spacing w:val="4"/>
        </w:rPr>
        <w:t xml:space="preserve">sowania studiów I </w:t>
      </w:r>
      <w:proofErr w:type="spellStart"/>
      <w:r>
        <w:rPr>
          <w:rFonts w:cs="Arial"/>
          <w:spacing w:val="4"/>
        </w:rPr>
        <w:t>i</w:t>
      </w:r>
      <w:proofErr w:type="spellEnd"/>
      <w:r>
        <w:rPr>
          <w:rFonts w:cs="Arial"/>
          <w:spacing w:val="4"/>
        </w:rPr>
        <w:t xml:space="preserve"> II stopnia podejmuje właściwa IZ.</w:t>
      </w:r>
    </w:p>
    <w:p w14:paraId="5BA35DE0" w14:textId="77777777" w:rsidR="00115B39" w:rsidRPr="008F0FFC" w:rsidRDefault="00115B39" w:rsidP="00115B39">
      <w:pPr>
        <w:pStyle w:val="Akapitzlist"/>
        <w:numPr>
          <w:ilvl w:val="0"/>
          <w:numId w:val="10"/>
        </w:numPr>
        <w:spacing w:before="120" w:after="120" w:line="360" w:lineRule="auto"/>
        <w:ind w:left="357" w:hanging="357"/>
        <w:rPr>
          <w:rFonts w:cs="Arial"/>
          <w:spacing w:val="4"/>
        </w:rPr>
      </w:pPr>
      <w:r w:rsidRPr="002245F9">
        <w:rPr>
          <w:rFonts w:cs="Arial"/>
          <w:spacing w:val="4"/>
        </w:rPr>
        <w:t xml:space="preserve">Warunkiem </w:t>
      </w:r>
      <w:r w:rsidRPr="008F0FFC">
        <w:rPr>
          <w:rFonts w:cs="Arial"/>
          <w:spacing w:val="4"/>
        </w:rPr>
        <w:t>finansowania szkolenia jest zgodność tematyki szkolenia z</w:t>
      </w:r>
      <w:r>
        <w:rPr>
          <w:rFonts w:cs="Arial"/>
          <w:spacing w:val="4"/>
        </w:rPr>
        <w:t> </w:t>
      </w:r>
      <w:r w:rsidRPr="008F0FFC">
        <w:rPr>
          <w:rFonts w:cs="Arial"/>
          <w:spacing w:val="4"/>
        </w:rPr>
        <w:t xml:space="preserve">zakresem obowiązków stanowiska pracy lub polityką szkoleniową jednostki organizacyjnej. </w:t>
      </w:r>
    </w:p>
    <w:p w14:paraId="255541EE" w14:textId="77777777" w:rsidR="00115B39" w:rsidRPr="002245F9" w:rsidRDefault="00115B39" w:rsidP="00115B39">
      <w:pPr>
        <w:pStyle w:val="Akapitzlist"/>
        <w:numPr>
          <w:ilvl w:val="0"/>
          <w:numId w:val="10"/>
        </w:numPr>
        <w:spacing w:before="120" w:after="120" w:line="360" w:lineRule="auto"/>
        <w:ind w:left="357" w:hanging="357"/>
        <w:rPr>
          <w:rFonts w:cs="Arial"/>
          <w:spacing w:val="4"/>
        </w:rPr>
      </w:pPr>
      <w:r w:rsidRPr="008F0FFC">
        <w:rPr>
          <w:rFonts w:cs="Arial"/>
          <w:spacing w:val="4"/>
        </w:rPr>
        <w:t>Koszty szkoleń w odniesieniu do stanowisk pracy obejmujących zadania kwalifikowalne na rzecz funduszy</w:t>
      </w:r>
      <w:r w:rsidRPr="002245F9">
        <w:rPr>
          <w:rFonts w:cs="Arial"/>
          <w:spacing w:val="4"/>
        </w:rPr>
        <w:t xml:space="preserve"> polityki spójności w co najmniej 50% (zgodnie z opisem stanowiska pracy, równoważnym dokumentem lub kartą czasu pracy), mogą zostać rozliczone w całości z pomocy technicznej.</w:t>
      </w:r>
    </w:p>
    <w:p w14:paraId="52CEFBFC" w14:textId="77777777" w:rsidR="00115B39" w:rsidRPr="002245F9" w:rsidRDefault="00115B39" w:rsidP="00115B39">
      <w:pPr>
        <w:pStyle w:val="Akapitzlist"/>
        <w:numPr>
          <w:ilvl w:val="0"/>
          <w:numId w:val="10"/>
        </w:numPr>
        <w:spacing w:before="120" w:after="120" w:line="360" w:lineRule="auto"/>
        <w:ind w:left="357" w:hanging="357"/>
        <w:jc w:val="both"/>
        <w:rPr>
          <w:rFonts w:cs="Arial"/>
          <w:spacing w:val="4"/>
        </w:rPr>
      </w:pPr>
      <w:r w:rsidRPr="002245F9">
        <w:rPr>
          <w:rFonts w:cs="Arial"/>
          <w:spacing w:val="4"/>
        </w:rPr>
        <w:t>W przypadku stanowisk pracy, których poziom kwalifikowalności jest mniejszy niż 50%:</w:t>
      </w:r>
    </w:p>
    <w:p w14:paraId="69A5D90C" w14:textId="77777777" w:rsidR="00115B39" w:rsidRPr="002245F9" w:rsidRDefault="00115B39" w:rsidP="00115B39">
      <w:pPr>
        <w:pStyle w:val="Akapitzlist"/>
        <w:numPr>
          <w:ilvl w:val="0"/>
          <w:numId w:val="4"/>
        </w:numPr>
        <w:spacing w:before="120" w:after="120" w:line="360" w:lineRule="auto"/>
        <w:ind w:left="714" w:hanging="357"/>
        <w:rPr>
          <w:rFonts w:cs="Arial"/>
          <w:spacing w:val="4"/>
        </w:rPr>
      </w:pPr>
      <w:r w:rsidRPr="002245F9">
        <w:rPr>
          <w:rFonts w:cs="Arial"/>
          <w:spacing w:val="4"/>
        </w:rPr>
        <w:t xml:space="preserve">koszty szkoleń, których tematyka jest bezpośrednio związana z realizacją funduszy polityki spójności są kwalifikowalne w 100%, </w:t>
      </w:r>
    </w:p>
    <w:p w14:paraId="1A848DC9" w14:textId="77777777" w:rsidR="00115B39" w:rsidRPr="002245F9" w:rsidRDefault="00115B39" w:rsidP="00115B39">
      <w:pPr>
        <w:pStyle w:val="Akapitzlist"/>
        <w:numPr>
          <w:ilvl w:val="0"/>
          <w:numId w:val="4"/>
        </w:numPr>
        <w:spacing w:before="120" w:after="120" w:line="360" w:lineRule="auto"/>
        <w:ind w:left="714" w:hanging="357"/>
        <w:rPr>
          <w:rFonts w:cs="Arial"/>
          <w:spacing w:val="4"/>
        </w:rPr>
      </w:pPr>
      <w:r w:rsidRPr="002245F9">
        <w:rPr>
          <w:rFonts w:cs="Arial"/>
          <w:spacing w:val="4"/>
        </w:rPr>
        <w:t>koszty pozostałych szkoleń (np. kursy językowe, MS Office) kwalifikowalne są zgodnie z poziomem kwalifikowalności stanowiska pracy.</w:t>
      </w:r>
    </w:p>
    <w:p w14:paraId="6A400520" w14:textId="77777777" w:rsidR="00115B39" w:rsidRPr="00D3139E" w:rsidRDefault="00115B39" w:rsidP="00115B39">
      <w:pPr>
        <w:pStyle w:val="Akapitzlist"/>
        <w:numPr>
          <w:ilvl w:val="0"/>
          <w:numId w:val="10"/>
        </w:numPr>
        <w:spacing w:before="120" w:after="120" w:line="360" w:lineRule="auto"/>
        <w:ind w:left="357" w:hanging="357"/>
        <w:rPr>
          <w:rFonts w:cs="Arial"/>
        </w:rPr>
      </w:pPr>
      <w:r w:rsidRPr="00D3139E">
        <w:rPr>
          <w:rFonts w:cs="Arial"/>
          <w:spacing w:val="4"/>
        </w:rPr>
        <w:lastRenderedPageBreak/>
        <w:t>W przypadku, gdy dane stanowisko pracy jest zaangażowane we wdrażanie różnych programów, koszty szkoleń są rozliczane proporcjonalnie do zaangażowania w dany program.</w:t>
      </w:r>
    </w:p>
    <w:p w14:paraId="351183CD" w14:textId="77777777" w:rsidR="00115B39" w:rsidRPr="00D3139E" w:rsidRDefault="00115B39" w:rsidP="007C47BC">
      <w:pPr>
        <w:spacing w:before="120" w:after="120" w:line="360" w:lineRule="auto"/>
        <w:ind w:left="357"/>
        <w:rPr>
          <w:rFonts w:cs="Arial"/>
        </w:rPr>
      </w:pPr>
      <w:r w:rsidRPr="00D3139E">
        <w:rPr>
          <w:rFonts w:cs="Arial"/>
          <w:b/>
        </w:rPr>
        <w:t>Przykład 2:</w:t>
      </w:r>
      <w:r w:rsidRPr="00D3139E">
        <w:rPr>
          <w:rFonts w:cs="Arial"/>
        </w:rPr>
        <w:t xml:space="preserve"> Podział wydatków pomiędzy krajowe programy w przypadku, gdy stanowisko pracy obejmuje zadania kwalifikowalne w zakresie mniejszym niż 50%.</w:t>
      </w:r>
    </w:p>
    <w:tbl>
      <w:tblPr>
        <w:tblW w:w="9346" w:type="dxa"/>
        <w:jc w:val="center"/>
        <w:tblCellMar>
          <w:left w:w="70" w:type="dxa"/>
          <w:right w:w="70" w:type="dxa"/>
        </w:tblCellMar>
        <w:tblLook w:val="00A0" w:firstRow="1" w:lastRow="0" w:firstColumn="1" w:lastColumn="0" w:noHBand="0" w:noVBand="0"/>
      </w:tblPr>
      <w:tblGrid>
        <w:gridCol w:w="2258"/>
        <w:gridCol w:w="2263"/>
        <w:gridCol w:w="2840"/>
        <w:gridCol w:w="1985"/>
      </w:tblGrid>
      <w:tr w:rsidR="00115B39" w:rsidRPr="002245F9" w14:paraId="52C8F469" w14:textId="77777777" w:rsidTr="00D634BA">
        <w:trPr>
          <w:trHeight w:val="300"/>
          <w:jc w:val="center"/>
        </w:trPr>
        <w:tc>
          <w:tcPr>
            <w:tcW w:w="2258" w:type="dxa"/>
            <w:tcBorders>
              <w:top w:val="single" w:sz="8" w:space="0" w:color="auto"/>
              <w:left w:val="single" w:sz="8" w:space="0" w:color="auto"/>
              <w:bottom w:val="single" w:sz="8" w:space="0" w:color="auto"/>
              <w:right w:val="single" w:sz="8" w:space="0" w:color="auto"/>
            </w:tcBorders>
            <w:shd w:val="clear" w:color="000000" w:fill="808080" w:themeFill="background1" w:themeFillShade="80"/>
            <w:noWrap/>
            <w:vAlign w:val="center"/>
          </w:tcPr>
          <w:p w14:paraId="7BFA2DE1" w14:textId="77777777" w:rsidR="00115B39" w:rsidRPr="005B24D9" w:rsidRDefault="00115B39" w:rsidP="00D634BA">
            <w:pPr>
              <w:spacing w:after="20"/>
              <w:rPr>
                <w:rFonts w:cs="Arial"/>
                <w:color w:val="FFFFFF" w:themeColor="background1"/>
                <w:sz w:val="20"/>
                <w:szCs w:val="20"/>
              </w:rPr>
            </w:pPr>
            <w:bookmarkStart w:id="271" w:name="_Hlk95895047"/>
            <w:r w:rsidRPr="005B24D9">
              <w:rPr>
                <w:rFonts w:cs="Arial"/>
                <w:color w:val="FFFFFF" w:themeColor="background1"/>
                <w:sz w:val="20"/>
                <w:szCs w:val="20"/>
              </w:rPr>
              <w:t>WYDATEK =</w:t>
            </w:r>
          </w:p>
        </w:tc>
        <w:tc>
          <w:tcPr>
            <w:tcW w:w="2263" w:type="dxa"/>
            <w:tcBorders>
              <w:top w:val="single" w:sz="8" w:space="0" w:color="auto"/>
              <w:left w:val="nil"/>
              <w:bottom w:val="single" w:sz="8" w:space="0" w:color="auto"/>
              <w:right w:val="single" w:sz="8" w:space="0" w:color="auto"/>
            </w:tcBorders>
            <w:shd w:val="clear" w:color="000000" w:fill="808080" w:themeFill="background1" w:themeFillShade="80"/>
            <w:noWrap/>
            <w:vAlign w:val="center"/>
          </w:tcPr>
          <w:p w14:paraId="47BF0BD8" w14:textId="77777777" w:rsidR="00115B39" w:rsidRPr="005B24D9" w:rsidRDefault="00115B39" w:rsidP="00D634BA">
            <w:pPr>
              <w:spacing w:after="20"/>
              <w:rPr>
                <w:rFonts w:cs="Arial"/>
                <w:color w:val="FFFFFF" w:themeColor="background1"/>
                <w:sz w:val="20"/>
                <w:szCs w:val="20"/>
              </w:rPr>
            </w:pPr>
            <w:r w:rsidRPr="005B24D9">
              <w:rPr>
                <w:rFonts w:cs="Arial"/>
                <w:color w:val="FFFFFF" w:themeColor="background1"/>
                <w:sz w:val="20"/>
                <w:szCs w:val="20"/>
              </w:rPr>
              <w:t>10 000,00 zł</w:t>
            </w:r>
          </w:p>
        </w:tc>
        <w:tc>
          <w:tcPr>
            <w:tcW w:w="2840" w:type="dxa"/>
            <w:tcBorders>
              <w:top w:val="nil"/>
              <w:left w:val="nil"/>
              <w:bottom w:val="single" w:sz="8" w:space="0" w:color="auto"/>
              <w:right w:val="nil"/>
            </w:tcBorders>
            <w:noWrap/>
            <w:vAlign w:val="center"/>
          </w:tcPr>
          <w:p w14:paraId="07364818" w14:textId="77777777" w:rsidR="00115B39" w:rsidRPr="005B24D9" w:rsidRDefault="00115B39" w:rsidP="00D634BA">
            <w:pPr>
              <w:spacing w:after="20"/>
              <w:rPr>
                <w:rFonts w:cs="Arial"/>
                <w:color w:val="000000"/>
                <w:sz w:val="20"/>
                <w:szCs w:val="20"/>
              </w:rPr>
            </w:pPr>
          </w:p>
        </w:tc>
        <w:tc>
          <w:tcPr>
            <w:tcW w:w="1985" w:type="dxa"/>
            <w:tcBorders>
              <w:top w:val="nil"/>
              <w:left w:val="nil"/>
              <w:bottom w:val="single" w:sz="8" w:space="0" w:color="auto"/>
              <w:right w:val="nil"/>
            </w:tcBorders>
            <w:noWrap/>
            <w:vAlign w:val="bottom"/>
          </w:tcPr>
          <w:p w14:paraId="48788667" w14:textId="77777777" w:rsidR="00115B39" w:rsidRPr="005B24D9" w:rsidRDefault="00115B39" w:rsidP="00D634BA">
            <w:pPr>
              <w:spacing w:after="20"/>
              <w:rPr>
                <w:rFonts w:cs="Arial"/>
                <w:color w:val="000000"/>
                <w:sz w:val="20"/>
                <w:szCs w:val="20"/>
              </w:rPr>
            </w:pPr>
          </w:p>
        </w:tc>
      </w:tr>
      <w:tr w:rsidR="00115B39" w:rsidRPr="002245F9" w14:paraId="2C1DDEF6" w14:textId="77777777" w:rsidTr="00D634BA">
        <w:trPr>
          <w:trHeight w:val="276"/>
          <w:jc w:val="center"/>
        </w:trPr>
        <w:tc>
          <w:tcPr>
            <w:tcW w:w="2258" w:type="dxa"/>
            <w:tcBorders>
              <w:top w:val="single" w:sz="8" w:space="0" w:color="auto"/>
              <w:left w:val="single" w:sz="8" w:space="0" w:color="auto"/>
              <w:bottom w:val="single" w:sz="4" w:space="0" w:color="auto"/>
              <w:right w:val="single" w:sz="8" w:space="0" w:color="auto"/>
            </w:tcBorders>
            <w:shd w:val="clear" w:color="000000" w:fill="D9D9D9" w:themeFill="background1" w:themeFillShade="D9"/>
            <w:noWrap/>
            <w:vAlign w:val="center"/>
          </w:tcPr>
          <w:p w14:paraId="02553591" w14:textId="77777777" w:rsidR="00115B39" w:rsidRPr="00F62E61" w:rsidRDefault="00115B39" w:rsidP="00D634BA">
            <w:pPr>
              <w:spacing w:after="20"/>
              <w:rPr>
                <w:rFonts w:cs="Arial"/>
                <w:color w:val="000000"/>
                <w:sz w:val="20"/>
                <w:szCs w:val="20"/>
              </w:rPr>
            </w:pPr>
            <w:r w:rsidRPr="00F62E61">
              <w:rPr>
                <w:rFonts w:cs="Arial"/>
                <w:color w:val="000000"/>
                <w:sz w:val="20"/>
                <w:szCs w:val="20"/>
              </w:rPr>
              <w:t>PRACOWNIK</w:t>
            </w:r>
          </w:p>
        </w:tc>
        <w:tc>
          <w:tcPr>
            <w:tcW w:w="2263" w:type="dxa"/>
            <w:tcBorders>
              <w:top w:val="single" w:sz="8" w:space="0" w:color="auto"/>
              <w:left w:val="nil"/>
              <w:bottom w:val="single" w:sz="4" w:space="0" w:color="auto"/>
              <w:right w:val="single" w:sz="8" w:space="0" w:color="auto"/>
            </w:tcBorders>
            <w:shd w:val="clear" w:color="000000" w:fill="D9D9D9" w:themeFill="background1" w:themeFillShade="D9"/>
            <w:noWrap/>
            <w:vAlign w:val="center"/>
          </w:tcPr>
          <w:p w14:paraId="19F4B1DA" w14:textId="77777777" w:rsidR="00115B39" w:rsidRPr="00F62E61" w:rsidRDefault="00115B39" w:rsidP="00D634BA">
            <w:pPr>
              <w:spacing w:after="20"/>
              <w:rPr>
                <w:rFonts w:cs="Arial"/>
                <w:color w:val="000000"/>
                <w:sz w:val="20"/>
                <w:szCs w:val="20"/>
              </w:rPr>
            </w:pPr>
            <w:r w:rsidRPr="00F62E61">
              <w:rPr>
                <w:rFonts w:cs="Arial"/>
                <w:color w:val="000000"/>
                <w:sz w:val="20"/>
                <w:szCs w:val="20"/>
              </w:rPr>
              <w:t>PROGRAM</w:t>
            </w:r>
          </w:p>
        </w:tc>
        <w:tc>
          <w:tcPr>
            <w:tcW w:w="2840" w:type="dxa"/>
            <w:tcBorders>
              <w:top w:val="single" w:sz="8" w:space="0" w:color="auto"/>
              <w:left w:val="nil"/>
              <w:bottom w:val="single" w:sz="4" w:space="0" w:color="auto"/>
              <w:right w:val="single" w:sz="8" w:space="0" w:color="auto"/>
            </w:tcBorders>
            <w:shd w:val="clear" w:color="000000" w:fill="D9D9D9" w:themeFill="background1" w:themeFillShade="D9"/>
            <w:noWrap/>
            <w:vAlign w:val="center"/>
          </w:tcPr>
          <w:p w14:paraId="5B57B82F" w14:textId="77777777" w:rsidR="00115B39" w:rsidRPr="00F62E61" w:rsidRDefault="00115B39" w:rsidP="00D634BA">
            <w:pPr>
              <w:spacing w:after="20"/>
              <w:rPr>
                <w:rFonts w:cs="Arial"/>
                <w:color w:val="000000"/>
                <w:sz w:val="20"/>
                <w:szCs w:val="20"/>
              </w:rPr>
            </w:pPr>
            <w:r w:rsidRPr="00F62E61">
              <w:rPr>
                <w:rFonts w:cs="Arial"/>
                <w:color w:val="000000"/>
                <w:sz w:val="20"/>
                <w:szCs w:val="20"/>
              </w:rPr>
              <w:t>KWALIFIKOWALNOŚĆ</w:t>
            </w:r>
          </w:p>
        </w:tc>
        <w:tc>
          <w:tcPr>
            <w:tcW w:w="1985" w:type="dxa"/>
            <w:tcBorders>
              <w:top w:val="single" w:sz="8" w:space="0" w:color="auto"/>
              <w:left w:val="nil"/>
              <w:bottom w:val="single" w:sz="4" w:space="0" w:color="auto"/>
              <w:right w:val="single" w:sz="8" w:space="0" w:color="auto"/>
            </w:tcBorders>
            <w:shd w:val="clear" w:color="000000" w:fill="D9D9D9" w:themeFill="background1" w:themeFillShade="D9"/>
            <w:noWrap/>
            <w:vAlign w:val="center"/>
          </w:tcPr>
          <w:p w14:paraId="4F41D890" w14:textId="77777777" w:rsidR="00115B39" w:rsidRPr="00F62E61" w:rsidRDefault="00115B39" w:rsidP="00D634BA">
            <w:pPr>
              <w:spacing w:after="20"/>
              <w:rPr>
                <w:rFonts w:cs="Arial"/>
                <w:color w:val="000000"/>
                <w:sz w:val="20"/>
                <w:szCs w:val="20"/>
              </w:rPr>
            </w:pPr>
            <w:r w:rsidRPr="00F62E61">
              <w:rPr>
                <w:rFonts w:cs="Arial"/>
                <w:color w:val="000000"/>
                <w:sz w:val="20"/>
                <w:szCs w:val="20"/>
              </w:rPr>
              <w:t>PODZIAŁ WYDATKU</w:t>
            </w:r>
          </w:p>
        </w:tc>
      </w:tr>
      <w:tr w:rsidR="00115B39" w:rsidRPr="002245F9" w14:paraId="59379417" w14:textId="77777777" w:rsidTr="00D634BA">
        <w:trPr>
          <w:trHeight w:val="133"/>
          <w:jc w:val="center"/>
        </w:trPr>
        <w:tc>
          <w:tcPr>
            <w:tcW w:w="2258" w:type="dxa"/>
            <w:tcBorders>
              <w:top w:val="single" w:sz="4" w:space="0" w:color="auto"/>
              <w:left w:val="single" w:sz="8" w:space="0" w:color="auto"/>
              <w:bottom w:val="single" w:sz="8" w:space="0" w:color="auto"/>
              <w:right w:val="single" w:sz="8" w:space="0" w:color="auto"/>
            </w:tcBorders>
            <w:shd w:val="clear" w:color="000000" w:fill="D9D9D9" w:themeFill="background1" w:themeFillShade="D9"/>
            <w:noWrap/>
            <w:vAlign w:val="center"/>
          </w:tcPr>
          <w:p w14:paraId="10FF4442" w14:textId="77777777" w:rsidR="00115B39" w:rsidRPr="00F62E61" w:rsidRDefault="00115B39" w:rsidP="00D634BA">
            <w:pPr>
              <w:spacing w:before="20" w:after="20"/>
              <w:ind w:left="60" w:hanging="60"/>
              <w:jc w:val="center"/>
              <w:rPr>
                <w:rFonts w:cs="Arial"/>
                <w:color w:val="000000"/>
                <w:sz w:val="20"/>
                <w:szCs w:val="20"/>
              </w:rPr>
            </w:pPr>
            <w:r w:rsidRPr="00F62E61">
              <w:rPr>
                <w:rFonts w:cs="Arial"/>
                <w:color w:val="000000"/>
                <w:sz w:val="20"/>
                <w:szCs w:val="20"/>
              </w:rPr>
              <w:t>1</w:t>
            </w:r>
          </w:p>
        </w:tc>
        <w:tc>
          <w:tcPr>
            <w:tcW w:w="2263" w:type="dxa"/>
            <w:tcBorders>
              <w:top w:val="single" w:sz="4" w:space="0" w:color="auto"/>
              <w:left w:val="nil"/>
              <w:bottom w:val="single" w:sz="8" w:space="0" w:color="auto"/>
              <w:right w:val="single" w:sz="8" w:space="0" w:color="auto"/>
            </w:tcBorders>
            <w:shd w:val="clear" w:color="000000" w:fill="D9D9D9" w:themeFill="background1" w:themeFillShade="D9"/>
            <w:noWrap/>
            <w:vAlign w:val="center"/>
          </w:tcPr>
          <w:p w14:paraId="2BEA56FE" w14:textId="77777777" w:rsidR="00115B39" w:rsidRPr="00F62E61" w:rsidRDefault="00115B39" w:rsidP="00D634BA">
            <w:pPr>
              <w:spacing w:before="20" w:after="20"/>
              <w:jc w:val="center"/>
              <w:rPr>
                <w:rFonts w:cs="Arial"/>
                <w:color w:val="000000"/>
                <w:sz w:val="20"/>
                <w:szCs w:val="20"/>
              </w:rPr>
            </w:pPr>
            <w:r w:rsidRPr="00F62E61">
              <w:rPr>
                <w:rFonts w:cs="Arial"/>
                <w:color w:val="000000"/>
                <w:sz w:val="20"/>
                <w:szCs w:val="20"/>
              </w:rPr>
              <w:t>2</w:t>
            </w:r>
          </w:p>
        </w:tc>
        <w:tc>
          <w:tcPr>
            <w:tcW w:w="2840" w:type="dxa"/>
            <w:tcBorders>
              <w:top w:val="single" w:sz="4" w:space="0" w:color="auto"/>
              <w:left w:val="nil"/>
              <w:bottom w:val="single" w:sz="8" w:space="0" w:color="auto"/>
              <w:right w:val="single" w:sz="8" w:space="0" w:color="auto"/>
            </w:tcBorders>
            <w:shd w:val="clear" w:color="000000" w:fill="D9D9D9" w:themeFill="background1" w:themeFillShade="D9"/>
            <w:noWrap/>
            <w:vAlign w:val="center"/>
          </w:tcPr>
          <w:p w14:paraId="58181EE5" w14:textId="77777777" w:rsidR="00115B39" w:rsidRPr="00F62E61" w:rsidRDefault="00115B39" w:rsidP="00D634BA">
            <w:pPr>
              <w:spacing w:before="20" w:after="20"/>
              <w:jc w:val="center"/>
              <w:rPr>
                <w:rFonts w:cs="Arial"/>
                <w:color w:val="000000"/>
                <w:sz w:val="20"/>
                <w:szCs w:val="20"/>
              </w:rPr>
            </w:pPr>
            <w:r w:rsidRPr="00F62E61">
              <w:rPr>
                <w:rFonts w:cs="Arial"/>
                <w:color w:val="000000"/>
                <w:sz w:val="20"/>
                <w:szCs w:val="20"/>
              </w:rPr>
              <w:t>3</w:t>
            </w:r>
          </w:p>
        </w:tc>
        <w:tc>
          <w:tcPr>
            <w:tcW w:w="1985" w:type="dxa"/>
            <w:tcBorders>
              <w:top w:val="single" w:sz="4" w:space="0" w:color="auto"/>
              <w:left w:val="nil"/>
              <w:bottom w:val="single" w:sz="8" w:space="0" w:color="auto"/>
              <w:right w:val="single" w:sz="8" w:space="0" w:color="auto"/>
            </w:tcBorders>
            <w:shd w:val="clear" w:color="000000" w:fill="D9D9D9" w:themeFill="background1" w:themeFillShade="D9"/>
            <w:noWrap/>
            <w:vAlign w:val="center"/>
          </w:tcPr>
          <w:p w14:paraId="3066221E" w14:textId="77777777" w:rsidR="00115B39" w:rsidRPr="00F62E61" w:rsidRDefault="00115B39" w:rsidP="00D634BA">
            <w:pPr>
              <w:spacing w:before="20" w:after="20"/>
              <w:jc w:val="center"/>
              <w:rPr>
                <w:rFonts w:cs="Arial"/>
                <w:color w:val="000000"/>
                <w:sz w:val="20"/>
                <w:szCs w:val="20"/>
              </w:rPr>
            </w:pPr>
            <w:r w:rsidRPr="00F62E61">
              <w:rPr>
                <w:rFonts w:cs="Arial"/>
                <w:color w:val="000000"/>
                <w:sz w:val="20"/>
                <w:szCs w:val="20"/>
              </w:rPr>
              <w:t>4 (= 3 x 10 000 zł)</w:t>
            </w:r>
          </w:p>
        </w:tc>
      </w:tr>
      <w:tr w:rsidR="00115B39" w:rsidRPr="002245F9" w14:paraId="2B44553F" w14:textId="77777777" w:rsidTr="00D634BA">
        <w:trPr>
          <w:trHeight w:val="276"/>
          <w:jc w:val="center"/>
        </w:trPr>
        <w:tc>
          <w:tcPr>
            <w:tcW w:w="2258" w:type="dxa"/>
            <w:vMerge w:val="restart"/>
            <w:tcBorders>
              <w:top w:val="nil"/>
              <w:left w:val="single" w:sz="8" w:space="0" w:color="auto"/>
              <w:bottom w:val="single" w:sz="8" w:space="0" w:color="000000"/>
              <w:right w:val="single" w:sz="8" w:space="0" w:color="auto"/>
            </w:tcBorders>
            <w:noWrap/>
            <w:vAlign w:val="center"/>
          </w:tcPr>
          <w:p w14:paraId="4439233A" w14:textId="77777777" w:rsidR="00115B39" w:rsidRPr="00F62E61" w:rsidRDefault="00115B39" w:rsidP="00D634BA">
            <w:pPr>
              <w:spacing w:after="20"/>
              <w:rPr>
                <w:rFonts w:cs="Arial"/>
                <w:color w:val="000000"/>
                <w:sz w:val="20"/>
                <w:szCs w:val="20"/>
              </w:rPr>
            </w:pPr>
            <w:r w:rsidRPr="00F62E61">
              <w:rPr>
                <w:rFonts w:cs="Arial"/>
                <w:color w:val="000000"/>
                <w:sz w:val="20"/>
                <w:szCs w:val="20"/>
              </w:rPr>
              <w:t>PRACOWNIK A</w:t>
            </w:r>
          </w:p>
        </w:tc>
        <w:tc>
          <w:tcPr>
            <w:tcW w:w="2263" w:type="dxa"/>
            <w:tcBorders>
              <w:top w:val="nil"/>
              <w:left w:val="nil"/>
              <w:bottom w:val="single" w:sz="8" w:space="0" w:color="auto"/>
              <w:right w:val="single" w:sz="8" w:space="0" w:color="auto"/>
            </w:tcBorders>
            <w:noWrap/>
            <w:vAlign w:val="center"/>
          </w:tcPr>
          <w:p w14:paraId="5F093EFC" w14:textId="77777777" w:rsidR="00115B39" w:rsidRPr="00F62E61" w:rsidRDefault="00115B39" w:rsidP="00D634BA">
            <w:pPr>
              <w:spacing w:after="20"/>
              <w:rPr>
                <w:rFonts w:cs="Arial"/>
                <w:color w:val="000000"/>
                <w:sz w:val="20"/>
                <w:szCs w:val="20"/>
              </w:rPr>
            </w:pPr>
            <w:r w:rsidRPr="00F62E61">
              <w:rPr>
                <w:rFonts w:cs="Arial"/>
                <w:color w:val="000000"/>
                <w:sz w:val="20"/>
                <w:szCs w:val="20"/>
              </w:rPr>
              <w:t>PK1</w:t>
            </w:r>
          </w:p>
        </w:tc>
        <w:tc>
          <w:tcPr>
            <w:tcW w:w="2840" w:type="dxa"/>
            <w:tcBorders>
              <w:top w:val="nil"/>
              <w:left w:val="nil"/>
              <w:bottom w:val="single" w:sz="8" w:space="0" w:color="auto"/>
              <w:right w:val="single" w:sz="8" w:space="0" w:color="auto"/>
            </w:tcBorders>
            <w:noWrap/>
            <w:vAlign w:val="center"/>
          </w:tcPr>
          <w:p w14:paraId="00C23E5D" w14:textId="77777777" w:rsidR="00115B39" w:rsidRPr="00F62E61" w:rsidRDefault="00115B39" w:rsidP="00D634BA">
            <w:pPr>
              <w:spacing w:after="20"/>
              <w:jc w:val="center"/>
              <w:rPr>
                <w:rFonts w:cs="Arial"/>
                <w:color w:val="000000"/>
                <w:sz w:val="20"/>
                <w:szCs w:val="20"/>
              </w:rPr>
            </w:pPr>
            <w:r w:rsidRPr="00F62E61">
              <w:rPr>
                <w:rFonts w:cs="Arial"/>
                <w:color w:val="000000"/>
                <w:sz w:val="20"/>
                <w:szCs w:val="20"/>
              </w:rPr>
              <w:t>10%</w:t>
            </w:r>
          </w:p>
        </w:tc>
        <w:tc>
          <w:tcPr>
            <w:tcW w:w="1985" w:type="dxa"/>
            <w:tcBorders>
              <w:top w:val="nil"/>
              <w:left w:val="nil"/>
              <w:bottom w:val="single" w:sz="8" w:space="0" w:color="auto"/>
              <w:right w:val="single" w:sz="8" w:space="0" w:color="auto"/>
            </w:tcBorders>
            <w:shd w:val="clear" w:color="000000" w:fill="FFFFFF"/>
            <w:noWrap/>
            <w:vAlign w:val="center"/>
          </w:tcPr>
          <w:p w14:paraId="36DF3015" w14:textId="77777777" w:rsidR="00115B39" w:rsidRPr="00F62E61" w:rsidRDefault="00115B39" w:rsidP="00D634BA">
            <w:pPr>
              <w:spacing w:after="20"/>
              <w:jc w:val="right"/>
              <w:rPr>
                <w:rFonts w:cs="Arial"/>
                <w:color w:val="000000"/>
                <w:sz w:val="20"/>
                <w:szCs w:val="20"/>
              </w:rPr>
            </w:pPr>
            <w:r w:rsidRPr="00F62E61">
              <w:rPr>
                <w:rFonts w:cs="Arial"/>
                <w:color w:val="000000"/>
                <w:sz w:val="20"/>
                <w:szCs w:val="20"/>
              </w:rPr>
              <w:t>1 000 zł</w:t>
            </w:r>
          </w:p>
        </w:tc>
      </w:tr>
      <w:tr w:rsidR="00115B39" w:rsidRPr="002245F9" w14:paraId="6374854C" w14:textId="77777777" w:rsidTr="00D634BA">
        <w:trPr>
          <w:trHeight w:val="276"/>
          <w:jc w:val="center"/>
        </w:trPr>
        <w:tc>
          <w:tcPr>
            <w:tcW w:w="2258" w:type="dxa"/>
            <w:vMerge/>
            <w:tcBorders>
              <w:top w:val="nil"/>
              <w:left w:val="single" w:sz="8" w:space="0" w:color="auto"/>
              <w:bottom w:val="single" w:sz="8" w:space="0" w:color="000000"/>
              <w:right w:val="single" w:sz="8" w:space="0" w:color="auto"/>
            </w:tcBorders>
            <w:vAlign w:val="center"/>
          </w:tcPr>
          <w:p w14:paraId="778718FE" w14:textId="77777777" w:rsidR="00115B39" w:rsidRPr="00F62E61" w:rsidRDefault="00115B39" w:rsidP="00D634BA">
            <w:pPr>
              <w:spacing w:after="20"/>
              <w:rPr>
                <w:rFonts w:cs="Arial"/>
                <w:color w:val="000000"/>
                <w:sz w:val="20"/>
                <w:szCs w:val="20"/>
              </w:rPr>
            </w:pPr>
          </w:p>
        </w:tc>
        <w:tc>
          <w:tcPr>
            <w:tcW w:w="2263" w:type="dxa"/>
            <w:tcBorders>
              <w:top w:val="nil"/>
              <w:left w:val="nil"/>
              <w:bottom w:val="single" w:sz="8" w:space="0" w:color="auto"/>
              <w:right w:val="single" w:sz="8" w:space="0" w:color="auto"/>
            </w:tcBorders>
            <w:noWrap/>
            <w:vAlign w:val="center"/>
          </w:tcPr>
          <w:p w14:paraId="14D6B094" w14:textId="77777777" w:rsidR="00115B39" w:rsidRPr="00F62E61" w:rsidRDefault="00115B39" w:rsidP="00D634BA">
            <w:pPr>
              <w:spacing w:after="20"/>
              <w:rPr>
                <w:rFonts w:cs="Arial"/>
                <w:color w:val="000000"/>
                <w:sz w:val="20"/>
                <w:szCs w:val="20"/>
              </w:rPr>
            </w:pPr>
            <w:r w:rsidRPr="00F62E61">
              <w:rPr>
                <w:rFonts w:cs="Arial"/>
                <w:color w:val="000000"/>
                <w:sz w:val="20"/>
                <w:szCs w:val="20"/>
              </w:rPr>
              <w:t>PK2</w:t>
            </w:r>
          </w:p>
        </w:tc>
        <w:tc>
          <w:tcPr>
            <w:tcW w:w="2840" w:type="dxa"/>
            <w:tcBorders>
              <w:top w:val="nil"/>
              <w:left w:val="nil"/>
              <w:bottom w:val="single" w:sz="8" w:space="0" w:color="auto"/>
              <w:right w:val="single" w:sz="8" w:space="0" w:color="auto"/>
            </w:tcBorders>
            <w:noWrap/>
            <w:vAlign w:val="center"/>
          </w:tcPr>
          <w:p w14:paraId="0B40CB40" w14:textId="77777777" w:rsidR="00115B39" w:rsidRPr="00F62E61" w:rsidRDefault="00115B39" w:rsidP="00D634BA">
            <w:pPr>
              <w:spacing w:after="20"/>
              <w:jc w:val="center"/>
              <w:rPr>
                <w:rFonts w:cs="Arial"/>
                <w:color w:val="000000"/>
                <w:sz w:val="20"/>
                <w:szCs w:val="20"/>
              </w:rPr>
            </w:pPr>
            <w:r w:rsidRPr="00F62E61">
              <w:rPr>
                <w:rFonts w:cs="Arial"/>
                <w:color w:val="000000"/>
                <w:sz w:val="20"/>
                <w:szCs w:val="20"/>
              </w:rPr>
              <w:t>20%</w:t>
            </w:r>
          </w:p>
        </w:tc>
        <w:tc>
          <w:tcPr>
            <w:tcW w:w="1985" w:type="dxa"/>
            <w:tcBorders>
              <w:top w:val="nil"/>
              <w:left w:val="nil"/>
              <w:bottom w:val="single" w:sz="8" w:space="0" w:color="auto"/>
              <w:right w:val="single" w:sz="8" w:space="0" w:color="auto"/>
            </w:tcBorders>
            <w:shd w:val="clear" w:color="000000" w:fill="FFFFFF"/>
            <w:noWrap/>
            <w:vAlign w:val="center"/>
          </w:tcPr>
          <w:p w14:paraId="4FC2138A" w14:textId="77777777" w:rsidR="00115B39" w:rsidRPr="00F62E61" w:rsidRDefault="00115B39" w:rsidP="00D634BA">
            <w:pPr>
              <w:spacing w:after="20"/>
              <w:jc w:val="right"/>
              <w:rPr>
                <w:rFonts w:cs="Arial"/>
                <w:color w:val="000000"/>
                <w:sz w:val="20"/>
                <w:szCs w:val="20"/>
              </w:rPr>
            </w:pPr>
            <w:r w:rsidRPr="00F62E61">
              <w:rPr>
                <w:rFonts w:cs="Arial"/>
                <w:color w:val="000000"/>
                <w:sz w:val="20"/>
                <w:szCs w:val="20"/>
              </w:rPr>
              <w:t>2 000 zł</w:t>
            </w:r>
          </w:p>
        </w:tc>
      </w:tr>
      <w:tr w:rsidR="00115B39" w:rsidRPr="002245F9" w14:paraId="5EED6FA4" w14:textId="77777777" w:rsidTr="00D634BA">
        <w:trPr>
          <w:trHeight w:val="276"/>
          <w:jc w:val="center"/>
        </w:trPr>
        <w:tc>
          <w:tcPr>
            <w:tcW w:w="2258" w:type="dxa"/>
            <w:vMerge/>
            <w:tcBorders>
              <w:top w:val="nil"/>
              <w:left w:val="single" w:sz="8" w:space="0" w:color="auto"/>
              <w:bottom w:val="single" w:sz="8" w:space="0" w:color="000000"/>
              <w:right w:val="single" w:sz="8" w:space="0" w:color="auto"/>
            </w:tcBorders>
            <w:vAlign w:val="center"/>
          </w:tcPr>
          <w:p w14:paraId="082AB198" w14:textId="77777777" w:rsidR="00115B39" w:rsidRPr="00F62E61" w:rsidRDefault="00115B39" w:rsidP="00D634BA">
            <w:pPr>
              <w:spacing w:after="20"/>
              <w:rPr>
                <w:rFonts w:cs="Arial"/>
                <w:color w:val="000000"/>
                <w:sz w:val="20"/>
                <w:szCs w:val="20"/>
              </w:rPr>
            </w:pPr>
          </w:p>
        </w:tc>
        <w:tc>
          <w:tcPr>
            <w:tcW w:w="2263" w:type="dxa"/>
            <w:tcBorders>
              <w:top w:val="nil"/>
              <w:left w:val="nil"/>
              <w:bottom w:val="single" w:sz="8" w:space="0" w:color="auto"/>
              <w:right w:val="single" w:sz="8" w:space="0" w:color="auto"/>
            </w:tcBorders>
            <w:noWrap/>
            <w:vAlign w:val="center"/>
          </w:tcPr>
          <w:p w14:paraId="68EBC6CB" w14:textId="77777777" w:rsidR="00115B39" w:rsidRPr="00F62E61" w:rsidRDefault="00115B39" w:rsidP="00D634BA">
            <w:pPr>
              <w:spacing w:after="20"/>
              <w:rPr>
                <w:rFonts w:cs="Arial"/>
                <w:color w:val="000000"/>
                <w:sz w:val="20"/>
                <w:szCs w:val="20"/>
              </w:rPr>
            </w:pPr>
            <w:r w:rsidRPr="00F62E61">
              <w:rPr>
                <w:rFonts w:cs="Arial"/>
                <w:color w:val="000000"/>
                <w:sz w:val="20"/>
                <w:szCs w:val="20"/>
              </w:rPr>
              <w:t>PK3</w:t>
            </w:r>
          </w:p>
        </w:tc>
        <w:tc>
          <w:tcPr>
            <w:tcW w:w="2840" w:type="dxa"/>
            <w:tcBorders>
              <w:top w:val="nil"/>
              <w:left w:val="nil"/>
              <w:bottom w:val="single" w:sz="8" w:space="0" w:color="auto"/>
              <w:right w:val="single" w:sz="8" w:space="0" w:color="auto"/>
            </w:tcBorders>
            <w:noWrap/>
            <w:vAlign w:val="center"/>
          </w:tcPr>
          <w:p w14:paraId="38364AE3" w14:textId="77777777" w:rsidR="00115B39" w:rsidRPr="00F62E61" w:rsidRDefault="00115B39" w:rsidP="00D634BA">
            <w:pPr>
              <w:spacing w:after="20"/>
              <w:jc w:val="center"/>
              <w:rPr>
                <w:rFonts w:cs="Arial"/>
                <w:color w:val="000000"/>
                <w:sz w:val="20"/>
                <w:szCs w:val="20"/>
              </w:rPr>
            </w:pPr>
            <w:r w:rsidRPr="00F62E61">
              <w:rPr>
                <w:rFonts w:cs="Arial"/>
                <w:color w:val="000000"/>
                <w:sz w:val="20"/>
                <w:szCs w:val="20"/>
              </w:rPr>
              <w:t>10%</w:t>
            </w:r>
          </w:p>
        </w:tc>
        <w:tc>
          <w:tcPr>
            <w:tcW w:w="1985" w:type="dxa"/>
            <w:tcBorders>
              <w:top w:val="nil"/>
              <w:left w:val="nil"/>
              <w:bottom w:val="single" w:sz="8" w:space="0" w:color="auto"/>
              <w:right w:val="single" w:sz="8" w:space="0" w:color="auto"/>
            </w:tcBorders>
            <w:shd w:val="clear" w:color="000000" w:fill="FFFFFF"/>
            <w:noWrap/>
            <w:vAlign w:val="center"/>
          </w:tcPr>
          <w:p w14:paraId="15E3CAF2" w14:textId="77777777" w:rsidR="00115B39" w:rsidRPr="00F62E61" w:rsidRDefault="00115B39" w:rsidP="00D634BA">
            <w:pPr>
              <w:spacing w:after="20"/>
              <w:jc w:val="right"/>
              <w:rPr>
                <w:rFonts w:cs="Arial"/>
                <w:color w:val="000000"/>
                <w:sz w:val="20"/>
                <w:szCs w:val="20"/>
              </w:rPr>
            </w:pPr>
            <w:r w:rsidRPr="00F62E61">
              <w:rPr>
                <w:rFonts w:cs="Arial"/>
                <w:color w:val="000000"/>
                <w:sz w:val="20"/>
                <w:szCs w:val="20"/>
              </w:rPr>
              <w:t>1 000 zł</w:t>
            </w:r>
          </w:p>
        </w:tc>
      </w:tr>
      <w:tr w:rsidR="00115B39" w:rsidRPr="002245F9" w14:paraId="3158C5CC" w14:textId="77777777" w:rsidTr="00D634BA">
        <w:trPr>
          <w:trHeight w:val="276"/>
          <w:jc w:val="center"/>
        </w:trPr>
        <w:tc>
          <w:tcPr>
            <w:tcW w:w="2258" w:type="dxa"/>
            <w:vMerge/>
            <w:tcBorders>
              <w:top w:val="nil"/>
              <w:left w:val="single" w:sz="8" w:space="0" w:color="auto"/>
              <w:bottom w:val="single" w:sz="8" w:space="0" w:color="000000"/>
              <w:right w:val="single" w:sz="8" w:space="0" w:color="auto"/>
            </w:tcBorders>
            <w:vAlign w:val="center"/>
          </w:tcPr>
          <w:p w14:paraId="55E0DC97" w14:textId="77777777" w:rsidR="00115B39" w:rsidRPr="00F62E61" w:rsidRDefault="00115B39" w:rsidP="00D634BA">
            <w:pPr>
              <w:spacing w:after="20"/>
              <w:rPr>
                <w:rFonts w:cs="Arial"/>
                <w:color w:val="000000"/>
                <w:sz w:val="20"/>
                <w:szCs w:val="20"/>
              </w:rPr>
            </w:pPr>
          </w:p>
        </w:tc>
        <w:tc>
          <w:tcPr>
            <w:tcW w:w="2263" w:type="dxa"/>
            <w:tcBorders>
              <w:top w:val="nil"/>
              <w:left w:val="nil"/>
              <w:bottom w:val="single" w:sz="8" w:space="0" w:color="auto"/>
              <w:right w:val="single" w:sz="8" w:space="0" w:color="auto"/>
            </w:tcBorders>
            <w:noWrap/>
            <w:vAlign w:val="center"/>
          </w:tcPr>
          <w:p w14:paraId="2E7B69EB" w14:textId="77777777" w:rsidR="00115B39" w:rsidRPr="00F62E61" w:rsidRDefault="00115B39" w:rsidP="00D634BA">
            <w:pPr>
              <w:spacing w:after="20"/>
              <w:rPr>
                <w:rFonts w:cs="Arial"/>
                <w:color w:val="000000"/>
                <w:sz w:val="20"/>
                <w:szCs w:val="20"/>
              </w:rPr>
            </w:pPr>
            <w:r w:rsidRPr="00F62E61">
              <w:rPr>
                <w:rFonts w:cs="Arial"/>
                <w:color w:val="000000"/>
                <w:sz w:val="20"/>
                <w:szCs w:val="20"/>
              </w:rPr>
              <w:t>INNE</w:t>
            </w:r>
          </w:p>
        </w:tc>
        <w:tc>
          <w:tcPr>
            <w:tcW w:w="2840" w:type="dxa"/>
            <w:tcBorders>
              <w:top w:val="nil"/>
              <w:left w:val="nil"/>
              <w:bottom w:val="single" w:sz="8" w:space="0" w:color="auto"/>
              <w:right w:val="single" w:sz="8" w:space="0" w:color="auto"/>
            </w:tcBorders>
            <w:noWrap/>
            <w:vAlign w:val="center"/>
          </w:tcPr>
          <w:p w14:paraId="4F9B26C6" w14:textId="77777777" w:rsidR="00115B39" w:rsidRPr="00F62E61" w:rsidRDefault="00115B39" w:rsidP="00D634BA">
            <w:pPr>
              <w:spacing w:after="20"/>
              <w:jc w:val="center"/>
              <w:rPr>
                <w:rFonts w:cs="Arial"/>
                <w:color w:val="000000"/>
                <w:sz w:val="20"/>
                <w:szCs w:val="20"/>
              </w:rPr>
            </w:pPr>
            <w:r w:rsidRPr="00F62E61">
              <w:rPr>
                <w:rFonts w:cs="Arial"/>
                <w:color w:val="000000"/>
                <w:sz w:val="20"/>
                <w:szCs w:val="20"/>
              </w:rPr>
              <w:t>60%</w:t>
            </w:r>
          </w:p>
        </w:tc>
        <w:tc>
          <w:tcPr>
            <w:tcW w:w="1985" w:type="dxa"/>
            <w:tcBorders>
              <w:top w:val="nil"/>
              <w:left w:val="nil"/>
              <w:bottom w:val="single" w:sz="8" w:space="0" w:color="auto"/>
              <w:right w:val="single" w:sz="8" w:space="0" w:color="auto"/>
            </w:tcBorders>
            <w:shd w:val="clear" w:color="000000" w:fill="FFFFFF"/>
            <w:noWrap/>
            <w:vAlign w:val="center"/>
          </w:tcPr>
          <w:p w14:paraId="0E2B61EF" w14:textId="77777777" w:rsidR="00115B39" w:rsidRPr="00F62E61" w:rsidRDefault="00115B39" w:rsidP="00D634BA">
            <w:pPr>
              <w:spacing w:after="20"/>
              <w:jc w:val="right"/>
              <w:rPr>
                <w:rFonts w:cs="Arial"/>
                <w:color w:val="000000"/>
                <w:sz w:val="20"/>
                <w:szCs w:val="20"/>
              </w:rPr>
            </w:pPr>
            <w:r w:rsidRPr="00F62E61">
              <w:rPr>
                <w:rFonts w:cs="Arial"/>
                <w:color w:val="000000"/>
                <w:sz w:val="20"/>
                <w:szCs w:val="20"/>
              </w:rPr>
              <w:t>6 000 zł</w:t>
            </w:r>
          </w:p>
        </w:tc>
      </w:tr>
      <w:tr w:rsidR="00115B39" w:rsidRPr="002245F9" w14:paraId="21C923AE" w14:textId="77777777" w:rsidTr="00D634BA">
        <w:trPr>
          <w:trHeight w:val="276"/>
          <w:jc w:val="center"/>
        </w:trPr>
        <w:tc>
          <w:tcPr>
            <w:tcW w:w="2258" w:type="dxa"/>
            <w:vMerge/>
            <w:tcBorders>
              <w:top w:val="nil"/>
              <w:left w:val="single" w:sz="8" w:space="0" w:color="auto"/>
              <w:bottom w:val="single" w:sz="8" w:space="0" w:color="000000"/>
              <w:right w:val="single" w:sz="8" w:space="0" w:color="auto"/>
            </w:tcBorders>
            <w:vAlign w:val="center"/>
          </w:tcPr>
          <w:p w14:paraId="35A8F0E3" w14:textId="77777777" w:rsidR="00115B39" w:rsidRPr="005B24D9" w:rsidRDefault="00115B39" w:rsidP="00D634BA">
            <w:pPr>
              <w:spacing w:after="20"/>
              <w:rPr>
                <w:rFonts w:cs="Arial"/>
                <w:color w:val="000000"/>
                <w:sz w:val="20"/>
                <w:szCs w:val="20"/>
              </w:rPr>
            </w:pPr>
          </w:p>
        </w:tc>
        <w:tc>
          <w:tcPr>
            <w:tcW w:w="2263" w:type="dxa"/>
            <w:tcBorders>
              <w:top w:val="nil"/>
              <w:left w:val="nil"/>
              <w:bottom w:val="single" w:sz="8" w:space="0" w:color="auto"/>
              <w:right w:val="single" w:sz="8" w:space="0" w:color="auto"/>
            </w:tcBorders>
            <w:noWrap/>
            <w:vAlign w:val="center"/>
          </w:tcPr>
          <w:p w14:paraId="2D2DFCC6" w14:textId="77777777" w:rsidR="00115B39" w:rsidRPr="005B24D9" w:rsidRDefault="00115B39" w:rsidP="00D634BA">
            <w:pPr>
              <w:spacing w:after="20"/>
              <w:rPr>
                <w:rFonts w:cs="Arial"/>
                <w:color w:val="000000"/>
                <w:sz w:val="20"/>
                <w:szCs w:val="20"/>
              </w:rPr>
            </w:pPr>
            <w:r w:rsidRPr="005B24D9">
              <w:rPr>
                <w:rFonts w:cs="Arial"/>
                <w:color w:val="000000"/>
                <w:sz w:val="20"/>
                <w:szCs w:val="20"/>
              </w:rPr>
              <w:t>RAZEM</w:t>
            </w:r>
          </w:p>
        </w:tc>
        <w:tc>
          <w:tcPr>
            <w:tcW w:w="2840" w:type="dxa"/>
            <w:tcBorders>
              <w:top w:val="nil"/>
              <w:left w:val="nil"/>
              <w:bottom w:val="single" w:sz="8" w:space="0" w:color="auto"/>
              <w:right w:val="single" w:sz="8" w:space="0" w:color="auto"/>
            </w:tcBorders>
            <w:noWrap/>
            <w:vAlign w:val="center"/>
          </w:tcPr>
          <w:p w14:paraId="5846F645" w14:textId="77777777" w:rsidR="00115B39" w:rsidRPr="005B24D9" w:rsidRDefault="00115B39" w:rsidP="00D634BA">
            <w:pPr>
              <w:spacing w:after="20"/>
              <w:jc w:val="center"/>
              <w:rPr>
                <w:rFonts w:cs="Arial"/>
                <w:color w:val="000000"/>
                <w:sz w:val="20"/>
                <w:szCs w:val="20"/>
              </w:rPr>
            </w:pPr>
            <w:r w:rsidRPr="005B24D9">
              <w:rPr>
                <w:rFonts w:cs="Arial"/>
                <w:color w:val="000000"/>
                <w:sz w:val="20"/>
                <w:szCs w:val="20"/>
              </w:rPr>
              <w:t>100%</w:t>
            </w:r>
          </w:p>
        </w:tc>
        <w:tc>
          <w:tcPr>
            <w:tcW w:w="1985" w:type="dxa"/>
            <w:tcBorders>
              <w:top w:val="nil"/>
              <w:left w:val="nil"/>
              <w:bottom w:val="single" w:sz="8" w:space="0" w:color="auto"/>
              <w:right w:val="single" w:sz="8" w:space="0" w:color="auto"/>
            </w:tcBorders>
            <w:shd w:val="clear" w:color="000000" w:fill="FFFFFF"/>
            <w:noWrap/>
            <w:vAlign w:val="center"/>
          </w:tcPr>
          <w:p w14:paraId="356293B4" w14:textId="77777777" w:rsidR="00115B39" w:rsidRPr="005B24D9" w:rsidRDefault="00115B39" w:rsidP="00D634BA">
            <w:pPr>
              <w:spacing w:after="20"/>
              <w:jc w:val="right"/>
              <w:rPr>
                <w:rFonts w:cs="Arial"/>
                <w:color w:val="000000"/>
                <w:sz w:val="20"/>
                <w:szCs w:val="20"/>
              </w:rPr>
            </w:pPr>
            <w:r w:rsidRPr="005B24D9">
              <w:rPr>
                <w:rFonts w:cs="Arial"/>
                <w:color w:val="000000"/>
                <w:sz w:val="20"/>
                <w:szCs w:val="20"/>
              </w:rPr>
              <w:t>10 000 zł</w:t>
            </w:r>
          </w:p>
        </w:tc>
      </w:tr>
    </w:tbl>
    <w:bookmarkEnd w:id="271"/>
    <w:p w14:paraId="3C6A8208" w14:textId="77777777" w:rsidR="00115B39" w:rsidRPr="002245F9" w:rsidRDefault="00115B39" w:rsidP="007C47BC">
      <w:pPr>
        <w:tabs>
          <w:tab w:val="left" w:pos="9000"/>
        </w:tabs>
        <w:autoSpaceDE w:val="0"/>
        <w:autoSpaceDN w:val="0"/>
        <w:adjustRightInd w:val="0"/>
        <w:spacing w:before="360" w:after="120" w:line="360" w:lineRule="auto"/>
        <w:ind w:left="357"/>
        <w:rPr>
          <w:rFonts w:cs="Arial"/>
        </w:rPr>
      </w:pPr>
      <w:r w:rsidRPr="002245F9">
        <w:rPr>
          <w:rFonts w:cs="Arial"/>
          <w:b/>
        </w:rPr>
        <w:t>Przykład</w:t>
      </w:r>
      <w:r>
        <w:rPr>
          <w:rFonts w:cs="Arial"/>
          <w:b/>
        </w:rPr>
        <w:t xml:space="preserve"> 3</w:t>
      </w:r>
      <w:r w:rsidRPr="002245F9">
        <w:rPr>
          <w:rFonts w:cs="Arial"/>
          <w:b/>
        </w:rPr>
        <w:t>:</w:t>
      </w:r>
      <w:r w:rsidRPr="002245F9">
        <w:rPr>
          <w:rFonts w:cs="Arial"/>
        </w:rPr>
        <w:t xml:space="preserve"> Podział wydatków pomiędzy </w:t>
      </w:r>
      <w:r>
        <w:rPr>
          <w:rFonts w:cs="Arial"/>
        </w:rPr>
        <w:t>krajowe programy</w:t>
      </w:r>
      <w:r w:rsidRPr="002245F9">
        <w:rPr>
          <w:rFonts w:cs="Arial"/>
        </w:rPr>
        <w:t xml:space="preserve"> w przypadku, gdy </w:t>
      </w:r>
      <w:r>
        <w:rPr>
          <w:rFonts w:cs="Arial"/>
        </w:rPr>
        <w:t xml:space="preserve">stanowisko pracy obejmuje </w:t>
      </w:r>
      <w:r w:rsidRPr="002245F9">
        <w:rPr>
          <w:rFonts w:cs="Arial"/>
        </w:rPr>
        <w:t>zadania</w:t>
      </w:r>
      <w:r>
        <w:rPr>
          <w:rFonts w:cs="Arial"/>
        </w:rPr>
        <w:t xml:space="preserve"> kwalifikowalne</w:t>
      </w:r>
      <w:r w:rsidRPr="002245F9">
        <w:rPr>
          <w:rFonts w:cs="Arial"/>
        </w:rPr>
        <w:t xml:space="preserve"> w zakresie większym lub równym niż 50%.</w:t>
      </w:r>
    </w:p>
    <w:tbl>
      <w:tblPr>
        <w:tblW w:w="9372" w:type="dxa"/>
        <w:tblInd w:w="-10" w:type="dxa"/>
        <w:tblCellMar>
          <w:left w:w="70" w:type="dxa"/>
          <w:right w:w="70" w:type="dxa"/>
        </w:tblCellMar>
        <w:tblLook w:val="04A0" w:firstRow="1" w:lastRow="0" w:firstColumn="1" w:lastColumn="0" w:noHBand="0" w:noVBand="1"/>
      </w:tblPr>
      <w:tblGrid>
        <w:gridCol w:w="1799"/>
        <w:gridCol w:w="1470"/>
        <w:gridCol w:w="160"/>
        <w:gridCol w:w="2241"/>
        <w:gridCol w:w="2000"/>
        <w:gridCol w:w="1702"/>
      </w:tblGrid>
      <w:tr w:rsidR="00115B39" w:rsidRPr="002245F9" w14:paraId="3502FA62" w14:textId="77777777" w:rsidTr="00D634BA">
        <w:trPr>
          <w:trHeight w:val="272"/>
        </w:trPr>
        <w:tc>
          <w:tcPr>
            <w:tcW w:w="1799"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5D0B531B" w14:textId="77777777" w:rsidR="00115B39" w:rsidRPr="00C31754" w:rsidRDefault="00115B39" w:rsidP="00D634BA">
            <w:pPr>
              <w:rPr>
                <w:rFonts w:cs="Arial"/>
                <w:color w:val="FFFFFF"/>
                <w:sz w:val="20"/>
                <w:szCs w:val="20"/>
              </w:rPr>
            </w:pPr>
            <w:r w:rsidRPr="00C31754">
              <w:rPr>
                <w:rFonts w:cs="Arial"/>
                <w:color w:val="FFFFFF"/>
                <w:sz w:val="20"/>
                <w:szCs w:val="20"/>
              </w:rPr>
              <w:t>WYDATEK =</w:t>
            </w:r>
          </w:p>
        </w:tc>
        <w:tc>
          <w:tcPr>
            <w:tcW w:w="1470" w:type="dxa"/>
            <w:tcBorders>
              <w:top w:val="single" w:sz="8" w:space="0" w:color="auto"/>
              <w:left w:val="nil"/>
              <w:bottom w:val="single" w:sz="8" w:space="0" w:color="auto"/>
              <w:right w:val="nil"/>
            </w:tcBorders>
            <w:shd w:val="clear" w:color="000000" w:fill="808080"/>
            <w:noWrap/>
            <w:vAlign w:val="center"/>
            <w:hideMark/>
          </w:tcPr>
          <w:p w14:paraId="168029B9" w14:textId="77777777" w:rsidR="00115B39" w:rsidRPr="00C31754" w:rsidRDefault="00115B39" w:rsidP="00D634BA">
            <w:pPr>
              <w:rPr>
                <w:rFonts w:cs="Arial"/>
                <w:color w:val="FFFFFF"/>
                <w:sz w:val="20"/>
                <w:szCs w:val="20"/>
              </w:rPr>
            </w:pPr>
            <w:r w:rsidRPr="00C31754">
              <w:rPr>
                <w:rFonts w:cs="Arial"/>
                <w:color w:val="FFFFFF"/>
                <w:sz w:val="20"/>
                <w:szCs w:val="20"/>
              </w:rPr>
              <w:t>10 000,00</w:t>
            </w:r>
            <w:r>
              <w:rPr>
                <w:rFonts w:cs="Arial"/>
                <w:color w:val="FFFFFF"/>
                <w:sz w:val="20"/>
                <w:szCs w:val="20"/>
              </w:rPr>
              <w:t xml:space="preserve"> </w:t>
            </w:r>
            <w:r w:rsidRPr="00C31754">
              <w:rPr>
                <w:rFonts w:cs="Arial"/>
                <w:color w:val="FFFFFF"/>
                <w:sz w:val="20"/>
                <w:szCs w:val="20"/>
              </w:rPr>
              <w:t>zł</w:t>
            </w:r>
          </w:p>
        </w:tc>
        <w:tc>
          <w:tcPr>
            <w:tcW w:w="160" w:type="dxa"/>
            <w:tcBorders>
              <w:top w:val="nil"/>
              <w:left w:val="nil"/>
              <w:bottom w:val="single" w:sz="8" w:space="0" w:color="auto"/>
              <w:right w:val="nil"/>
            </w:tcBorders>
          </w:tcPr>
          <w:p w14:paraId="4DCD5BCC" w14:textId="77777777" w:rsidR="00115B39" w:rsidRPr="00C31754" w:rsidRDefault="00115B39" w:rsidP="00D634BA">
            <w:pPr>
              <w:rPr>
                <w:rFonts w:cs="Arial"/>
                <w:color w:val="000000"/>
                <w:sz w:val="20"/>
                <w:szCs w:val="20"/>
              </w:rPr>
            </w:pPr>
          </w:p>
        </w:tc>
        <w:tc>
          <w:tcPr>
            <w:tcW w:w="2241" w:type="dxa"/>
            <w:tcBorders>
              <w:top w:val="nil"/>
              <w:left w:val="nil"/>
              <w:bottom w:val="single" w:sz="8" w:space="0" w:color="auto"/>
              <w:right w:val="nil"/>
            </w:tcBorders>
            <w:shd w:val="clear" w:color="auto" w:fill="auto"/>
            <w:noWrap/>
            <w:vAlign w:val="center"/>
            <w:hideMark/>
          </w:tcPr>
          <w:p w14:paraId="5A4786C9" w14:textId="77777777" w:rsidR="00115B39" w:rsidRPr="00C31754" w:rsidRDefault="00115B39" w:rsidP="00D634BA">
            <w:pPr>
              <w:rPr>
                <w:rFonts w:cs="Arial"/>
                <w:color w:val="000000"/>
                <w:sz w:val="20"/>
                <w:szCs w:val="20"/>
              </w:rPr>
            </w:pPr>
            <w:r w:rsidRPr="00C31754">
              <w:rPr>
                <w:rFonts w:cs="Arial"/>
                <w:color w:val="000000"/>
                <w:sz w:val="20"/>
                <w:szCs w:val="20"/>
              </w:rPr>
              <w:t> </w:t>
            </w:r>
          </w:p>
        </w:tc>
        <w:tc>
          <w:tcPr>
            <w:tcW w:w="2000" w:type="dxa"/>
            <w:tcBorders>
              <w:top w:val="nil"/>
              <w:left w:val="nil"/>
              <w:bottom w:val="single" w:sz="8" w:space="0" w:color="auto"/>
              <w:right w:val="nil"/>
            </w:tcBorders>
            <w:shd w:val="clear" w:color="auto" w:fill="auto"/>
            <w:noWrap/>
            <w:vAlign w:val="center"/>
            <w:hideMark/>
          </w:tcPr>
          <w:p w14:paraId="050AB985" w14:textId="77777777" w:rsidR="00115B39" w:rsidRPr="00C31754" w:rsidRDefault="00115B39" w:rsidP="00D634BA">
            <w:pPr>
              <w:rPr>
                <w:rFonts w:cs="Arial"/>
                <w:color w:val="000000"/>
                <w:sz w:val="20"/>
                <w:szCs w:val="20"/>
              </w:rPr>
            </w:pPr>
            <w:r w:rsidRPr="00C31754">
              <w:rPr>
                <w:rFonts w:cs="Arial"/>
                <w:color w:val="000000"/>
                <w:sz w:val="20"/>
                <w:szCs w:val="20"/>
              </w:rPr>
              <w:t> </w:t>
            </w:r>
          </w:p>
        </w:tc>
        <w:tc>
          <w:tcPr>
            <w:tcW w:w="1702" w:type="dxa"/>
            <w:tcBorders>
              <w:top w:val="nil"/>
              <w:left w:val="nil"/>
              <w:bottom w:val="single" w:sz="8" w:space="0" w:color="auto"/>
              <w:right w:val="nil"/>
            </w:tcBorders>
            <w:shd w:val="clear" w:color="auto" w:fill="auto"/>
            <w:noWrap/>
            <w:vAlign w:val="center"/>
            <w:hideMark/>
          </w:tcPr>
          <w:p w14:paraId="077BD765" w14:textId="77777777" w:rsidR="00115B39" w:rsidRPr="00C31754" w:rsidRDefault="00115B39" w:rsidP="00D634BA">
            <w:pPr>
              <w:rPr>
                <w:rFonts w:cs="Arial"/>
                <w:color w:val="000000"/>
                <w:sz w:val="20"/>
                <w:szCs w:val="20"/>
              </w:rPr>
            </w:pPr>
            <w:r w:rsidRPr="00C31754">
              <w:rPr>
                <w:rFonts w:cs="Arial"/>
                <w:color w:val="000000"/>
                <w:sz w:val="20"/>
                <w:szCs w:val="20"/>
              </w:rPr>
              <w:t> </w:t>
            </w:r>
          </w:p>
        </w:tc>
      </w:tr>
      <w:tr w:rsidR="00115B39" w:rsidRPr="002245F9" w14:paraId="24A2507A" w14:textId="77777777" w:rsidTr="00D634BA">
        <w:trPr>
          <w:trHeight w:val="711"/>
        </w:trPr>
        <w:tc>
          <w:tcPr>
            <w:tcW w:w="1799" w:type="dxa"/>
            <w:tcBorders>
              <w:top w:val="nil"/>
              <w:left w:val="single" w:sz="8" w:space="0" w:color="auto"/>
              <w:bottom w:val="single" w:sz="8" w:space="0" w:color="auto"/>
              <w:right w:val="single" w:sz="8" w:space="0" w:color="auto"/>
            </w:tcBorders>
            <w:shd w:val="clear" w:color="000000" w:fill="D9D9D9"/>
            <w:noWrap/>
            <w:vAlign w:val="center"/>
            <w:hideMark/>
          </w:tcPr>
          <w:p w14:paraId="4E4C6063" w14:textId="77777777" w:rsidR="00115B39" w:rsidRPr="00C31754" w:rsidRDefault="00115B39" w:rsidP="00D634BA">
            <w:pPr>
              <w:jc w:val="center"/>
              <w:rPr>
                <w:rFonts w:cs="Arial"/>
                <w:color w:val="000000"/>
                <w:sz w:val="20"/>
                <w:szCs w:val="20"/>
              </w:rPr>
            </w:pPr>
            <w:r w:rsidRPr="00C31754">
              <w:rPr>
                <w:rFonts w:cs="Arial"/>
                <w:color w:val="000000"/>
                <w:sz w:val="20"/>
                <w:szCs w:val="20"/>
              </w:rPr>
              <w:t>PRACOWNIK</w:t>
            </w:r>
          </w:p>
        </w:tc>
        <w:tc>
          <w:tcPr>
            <w:tcW w:w="1470" w:type="dxa"/>
            <w:tcBorders>
              <w:top w:val="nil"/>
              <w:left w:val="nil"/>
              <w:bottom w:val="single" w:sz="8" w:space="0" w:color="auto"/>
              <w:right w:val="single" w:sz="8" w:space="0" w:color="auto"/>
            </w:tcBorders>
            <w:shd w:val="clear" w:color="000000" w:fill="D9D9D9"/>
            <w:noWrap/>
            <w:vAlign w:val="center"/>
            <w:hideMark/>
          </w:tcPr>
          <w:p w14:paraId="631A872F" w14:textId="77777777" w:rsidR="00115B39" w:rsidRPr="00C31754" w:rsidRDefault="00115B39" w:rsidP="00D634BA">
            <w:pPr>
              <w:jc w:val="center"/>
              <w:rPr>
                <w:rFonts w:cs="Arial"/>
                <w:color w:val="000000"/>
                <w:sz w:val="20"/>
                <w:szCs w:val="20"/>
              </w:rPr>
            </w:pPr>
            <w:r w:rsidRPr="00C31754">
              <w:rPr>
                <w:rFonts w:cs="Arial"/>
                <w:color w:val="000000"/>
                <w:sz w:val="20"/>
                <w:szCs w:val="20"/>
              </w:rPr>
              <w:t>PROGRAM</w:t>
            </w:r>
          </w:p>
        </w:tc>
        <w:tc>
          <w:tcPr>
            <w:tcW w:w="160" w:type="dxa"/>
            <w:tcBorders>
              <w:top w:val="nil"/>
              <w:left w:val="nil"/>
              <w:bottom w:val="single" w:sz="8" w:space="0" w:color="auto"/>
              <w:right w:val="nil"/>
            </w:tcBorders>
            <w:shd w:val="clear" w:color="000000" w:fill="D9D9D9"/>
          </w:tcPr>
          <w:p w14:paraId="0BC11262" w14:textId="77777777" w:rsidR="00115B39" w:rsidRPr="00C31754" w:rsidRDefault="00115B39" w:rsidP="00D634BA">
            <w:pPr>
              <w:jc w:val="center"/>
              <w:rPr>
                <w:rFonts w:cs="Arial"/>
                <w:color w:val="000000"/>
                <w:sz w:val="20"/>
                <w:szCs w:val="20"/>
              </w:rPr>
            </w:pPr>
          </w:p>
        </w:tc>
        <w:tc>
          <w:tcPr>
            <w:tcW w:w="2241" w:type="dxa"/>
            <w:tcBorders>
              <w:top w:val="nil"/>
              <w:left w:val="nil"/>
              <w:bottom w:val="single" w:sz="8" w:space="0" w:color="auto"/>
              <w:right w:val="single" w:sz="8" w:space="0" w:color="auto"/>
            </w:tcBorders>
            <w:shd w:val="clear" w:color="000000" w:fill="D9D9D9"/>
            <w:noWrap/>
            <w:vAlign w:val="center"/>
            <w:hideMark/>
          </w:tcPr>
          <w:p w14:paraId="08EAFA32" w14:textId="77777777" w:rsidR="00115B39" w:rsidRPr="00C31754" w:rsidRDefault="00115B39" w:rsidP="00D634BA">
            <w:pPr>
              <w:rPr>
                <w:rFonts w:cs="Arial"/>
                <w:color w:val="000000"/>
                <w:sz w:val="20"/>
                <w:szCs w:val="20"/>
              </w:rPr>
            </w:pPr>
            <w:r w:rsidRPr="00C31754">
              <w:rPr>
                <w:rFonts w:cs="Arial"/>
                <w:color w:val="000000"/>
                <w:sz w:val="20"/>
                <w:szCs w:val="20"/>
              </w:rPr>
              <w:t>KWALIFIKOWALNOŚĆ</w:t>
            </w:r>
          </w:p>
        </w:tc>
        <w:tc>
          <w:tcPr>
            <w:tcW w:w="2000" w:type="dxa"/>
            <w:tcBorders>
              <w:top w:val="nil"/>
              <w:left w:val="nil"/>
              <w:bottom w:val="single" w:sz="8" w:space="0" w:color="auto"/>
              <w:right w:val="single" w:sz="8" w:space="0" w:color="auto"/>
            </w:tcBorders>
            <w:shd w:val="clear" w:color="000000" w:fill="D9D9D9"/>
            <w:vAlign w:val="center"/>
            <w:hideMark/>
          </w:tcPr>
          <w:p w14:paraId="398CF34E" w14:textId="77777777" w:rsidR="00115B39" w:rsidRPr="00C31754" w:rsidRDefault="00115B39" w:rsidP="00D634BA">
            <w:pPr>
              <w:jc w:val="center"/>
              <w:rPr>
                <w:rFonts w:cs="Arial"/>
                <w:color w:val="000000"/>
                <w:sz w:val="20"/>
                <w:szCs w:val="20"/>
              </w:rPr>
            </w:pPr>
            <w:r w:rsidRPr="00C31754">
              <w:rPr>
                <w:rFonts w:cs="Arial"/>
                <w:color w:val="000000"/>
                <w:sz w:val="20"/>
                <w:szCs w:val="20"/>
              </w:rPr>
              <w:t>WSPÓŁCZYNNIK FINANSOWANIA</w:t>
            </w:r>
          </w:p>
        </w:tc>
        <w:tc>
          <w:tcPr>
            <w:tcW w:w="1702" w:type="dxa"/>
            <w:tcBorders>
              <w:top w:val="nil"/>
              <w:left w:val="nil"/>
              <w:bottom w:val="single" w:sz="8" w:space="0" w:color="auto"/>
              <w:right w:val="single" w:sz="8" w:space="0" w:color="auto"/>
            </w:tcBorders>
            <w:shd w:val="clear" w:color="000000" w:fill="D9D9D9"/>
            <w:noWrap/>
            <w:vAlign w:val="center"/>
            <w:hideMark/>
          </w:tcPr>
          <w:p w14:paraId="6F5ED871" w14:textId="77777777" w:rsidR="00115B39" w:rsidRPr="00C31754" w:rsidRDefault="00115B39" w:rsidP="00D634BA">
            <w:pPr>
              <w:rPr>
                <w:rFonts w:cs="Arial"/>
                <w:color w:val="000000"/>
                <w:sz w:val="20"/>
                <w:szCs w:val="20"/>
              </w:rPr>
            </w:pPr>
            <w:r w:rsidRPr="00C31754">
              <w:rPr>
                <w:rFonts w:cs="Arial"/>
                <w:color w:val="000000"/>
                <w:sz w:val="20"/>
                <w:szCs w:val="20"/>
              </w:rPr>
              <w:t>PODZIAŁ WYDATKU</w:t>
            </w:r>
          </w:p>
        </w:tc>
      </w:tr>
      <w:tr w:rsidR="00115B39" w:rsidRPr="002245F9" w14:paraId="4F9B4A84" w14:textId="77777777" w:rsidTr="00D634BA">
        <w:trPr>
          <w:trHeight w:val="272"/>
        </w:trPr>
        <w:tc>
          <w:tcPr>
            <w:tcW w:w="1799" w:type="dxa"/>
            <w:tcBorders>
              <w:top w:val="nil"/>
              <w:left w:val="single" w:sz="8" w:space="0" w:color="auto"/>
              <w:bottom w:val="single" w:sz="8" w:space="0" w:color="auto"/>
              <w:right w:val="single" w:sz="8" w:space="0" w:color="auto"/>
            </w:tcBorders>
            <w:shd w:val="clear" w:color="000000" w:fill="D9D9D9"/>
            <w:noWrap/>
            <w:vAlign w:val="center"/>
            <w:hideMark/>
          </w:tcPr>
          <w:p w14:paraId="01F621AE" w14:textId="77777777" w:rsidR="00115B39" w:rsidRPr="00C31754" w:rsidRDefault="00115B39" w:rsidP="00D634BA">
            <w:pPr>
              <w:spacing w:before="20" w:after="20"/>
              <w:jc w:val="center"/>
              <w:rPr>
                <w:rFonts w:cs="Arial"/>
                <w:color w:val="000000"/>
                <w:sz w:val="20"/>
                <w:szCs w:val="20"/>
              </w:rPr>
            </w:pPr>
            <w:r w:rsidRPr="00C31754">
              <w:rPr>
                <w:rFonts w:cs="Arial"/>
                <w:color w:val="000000"/>
                <w:sz w:val="20"/>
                <w:szCs w:val="20"/>
              </w:rPr>
              <w:t>1</w:t>
            </w:r>
          </w:p>
        </w:tc>
        <w:tc>
          <w:tcPr>
            <w:tcW w:w="1470" w:type="dxa"/>
            <w:tcBorders>
              <w:top w:val="nil"/>
              <w:left w:val="nil"/>
              <w:bottom w:val="single" w:sz="8" w:space="0" w:color="auto"/>
              <w:right w:val="single" w:sz="8" w:space="0" w:color="auto"/>
            </w:tcBorders>
            <w:shd w:val="clear" w:color="000000" w:fill="D9D9D9"/>
            <w:noWrap/>
            <w:vAlign w:val="center"/>
            <w:hideMark/>
          </w:tcPr>
          <w:p w14:paraId="5A76BD04" w14:textId="77777777" w:rsidR="00115B39" w:rsidRPr="00C31754" w:rsidRDefault="00115B39" w:rsidP="00D634BA">
            <w:pPr>
              <w:spacing w:before="20" w:after="20"/>
              <w:jc w:val="center"/>
              <w:rPr>
                <w:rFonts w:cs="Arial"/>
                <w:color w:val="000000"/>
                <w:sz w:val="20"/>
                <w:szCs w:val="20"/>
              </w:rPr>
            </w:pPr>
            <w:r w:rsidRPr="00C31754">
              <w:rPr>
                <w:rFonts w:cs="Arial"/>
                <w:color w:val="000000"/>
                <w:sz w:val="20"/>
                <w:szCs w:val="20"/>
              </w:rPr>
              <w:t>2</w:t>
            </w:r>
          </w:p>
        </w:tc>
        <w:tc>
          <w:tcPr>
            <w:tcW w:w="160" w:type="dxa"/>
            <w:tcBorders>
              <w:top w:val="nil"/>
              <w:left w:val="nil"/>
              <w:bottom w:val="single" w:sz="8" w:space="0" w:color="auto"/>
              <w:right w:val="nil"/>
            </w:tcBorders>
            <w:shd w:val="clear" w:color="000000" w:fill="D9D9D9"/>
          </w:tcPr>
          <w:p w14:paraId="183E3420" w14:textId="77777777" w:rsidR="00115B39" w:rsidRPr="00C31754" w:rsidRDefault="00115B39" w:rsidP="00D634BA">
            <w:pPr>
              <w:spacing w:before="20" w:after="20"/>
              <w:jc w:val="center"/>
              <w:rPr>
                <w:rFonts w:cs="Arial"/>
                <w:color w:val="000000"/>
                <w:sz w:val="20"/>
                <w:szCs w:val="20"/>
              </w:rPr>
            </w:pPr>
          </w:p>
        </w:tc>
        <w:tc>
          <w:tcPr>
            <w:tcW w:w="2241" w:type="dxa"/>
            <w:tcBorders>
              <w:top w:val="nil"/>
              <w:left w:val="nil"/>
              <w:bottom w:val="single" w:sz="8" w:space="0" w:color="auto"/>
              <w:right w:val="single" w:sz="8" w:space="0" w:color="auto"/>
            </w:tcBorders>
            <w:shd w:val="clear" w:color="000000" w:fill="D9D9D9"/>
            <w:noWrap/>
            <w:vAlign w:val="center"/>
            <w:hideMark/>
          </w:tcPr>
          <w:p w14:paraId="256268CC" w14:textId="77777777" w:rsidR="00115B39" w:rsidRPr="00C31754" w:rsidRDefault="00115B39" w:rsidP="00D634BA">
            <w:pPr>
              <w:spacing w:before="20" w:after="20"/>
              <w:jc w:val="center"/>
              <w:rPr>
                <w:rFonts w:cs="Arial"/>
                <w:color w:val="000000"/>
                <w:sz w:val="20"/>
                <w:szCs w:val="20"/>
              </w:rPr>
            </w:pPr>
            <w:r w:rsidRPr="00C31754">
              <w:rPr>
                <w:rFonts w:cs="Arial"/>
                <w:color w:val="000000"/>
                <w:sz w:val="20"/>
                <w:szCs w:val="20"/>
              </w:rPr>
              <w:t>3</w:t>
            </w:r>
          </w:p>
        </w:tc>
        <w:tc>
          <w:tcPr>
            <w:tcW w:w="2000" w:type="dxa"/>
            <w:tcBorders>
              <w:top w:val="nil"/>
              <w:left w:val="nil"/>
              <w:bottom w:val="single" w:sz="8" w:space="0" w:color="auto"/>
              <w:right w:val="single" w:sz="8" w:space="0" w:color="auto"/>
            </w:tcBorders>
            <w:shd w:val="clear" w:color="000000" w:fill="D9D9D9"/>
            <w:noWrap/>
            <w:vAlign w:val="center"/>
            <w:hideMark/>
          </w:tcPr>
          <w:p w14:paraId="4B5B244A" w14:textId="77777777" w:rsidR="00115B39" w:rsidRPr="00C31754" w:rsidRDefault="00115B39" w:rsidP="00D634BA">
            <w:pPr>
              <w:spacing w:before="20" w:after="20"/>
              <w:jc w:val="center"/>
              <w:rPr>
                <w:rFonts w:cs="Arial"/>
                <w:color w:val="000000"/>
                <w:sz w:val="20"/>
                <w:szCs w:val="20"/>
              </w:rPr>
            </w:pPr>
            <w:r w:rsidRPr="00C31754">
              <w:rPr>
                <w:rFonts w:cs="Arial"/>
                <w:color w:val="000000"/>
                <w:sz w:val="20"/>
                <w:szCs w:val="20"/>
              </w:rPr>
              <w:t>4</w:t>
            </w:r>
          </w:p>
        </w:tc>
        <w:tc>
          <w:tcPr>
            <w:tcW w:w="1702" w:type="dxa"/>
            <w:tcBorders>
              <w:top w:val="nil"/>
              <w:left w:val="nil"/>
              <w:bottom w:val="single" w:sz="8" w:space="0" w:color="auto"/>
              <w:right w:val="single" w:sz="8" w:space="0" w:color="auto"/>
            </w:tcBorders>
            <w:shd w:val="clear" w:color="000000" w:fill="D9D9D9"/>
            <w:noWrap/>
            <w:vAlign w:val="center"/>
            <w:hideMark/>
          </w:tcPr>
          <w:p w14:paraId="028BFDFB" w14:textId="77777777" w:rsidR="00115B39" w:rsidRPr="00C31754" w:rsidRDefault="00115B39" w:rsidP="00D634BA">
            <w:pPr>
              <w:spacing w:before="20" w:after="20"/>
              <w:jc w:val="center"/>
              <w:rPr>
                <w:rFonts w:cs="Arial"/>
                <w:color w:val="000000"/>
                <w:sz w:val="20"/>
                <w:szCs w:val="20"/>
              </w:rPr>
            </w:pPr>
            <w:r w:rsidRPr="00C31754">
              <w:rPr>
                <w:rFonts w:cs="Arial"/>
                <w:color w:val="000000"/>
                <w:sz w:val="20"/>
                <w:szCs w:val="20"/>
              </w:rPr>
              <w:t xml:space="preserve">5 </w:t>
            </w:r>
            <w:r>
              <w:rPr>
                <w:rFonts w:cs="Arial"/>
                <w:color w:val="000000"/>
                <w:sz w:val="20"/>
                <w:szCs w:val="20"/>
              </w:rPr>
              <w:t>(</w:t>
            </w:r>
            <w:r w:rsidRPr="00C31754">
              <w:rPr>
                <w:rFonts w:cs="Arial"/>
                <w:color w:val="000000"/>
                <w:sz w:val="20"/>
                <w:szCs w:val="20"/>
              </w:rPr>
              <w:t>= 4 x 1</w:t>
            </w:r>
            <w:r>
              <w:rPr>
                <w:rFonts w:cs="Arial"/>
                <w:color w:val="000000"/>
                <w:sz w:val="20"/>
                <w:szCs w:val="20"/>
              </w:rPr>
              <w:t xml:space="preserve">0 </w:t>
            </w:r>
            <w:r w:rsidRPr="00C31754">
              <w:rPr>
                <w:rFonts w:cs="Arial"/>
                <w:color w:val="000000"/>
                <w:sz w:val="20"/>
                <w:szCs w:val="20"/>
              </w:rPr>
              <w:t>000 zł</w:t>
            </w:r>
            <w:r>
              <w:rPr>
                <w:rFonts w:cs="Arial"/>
                <w:color w:val="000000"/>
                <w:sz w:val="20"/>
                <w:szCs w:val="20"/>
              </w:rPr>
              <w:t>)</w:t>
            </w:r>
          </w:p>
        </w:tc>
      </w:tr>
      <w:tr w:rsidR="00115B39" w:rsidRPr="002245F9" w14:paraId="7960473E" w14:textId="77777777" w:rsidTr="00D634BA">
        <w:trPr>
          <w:trHeight w:val="272"/>
        </w:trPr>
        <w:tc>
          <w:tcPr>
            <w:tcW w:w="17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869CF9" w14:textId="77777777" w:rsidR="00115B39" w:rsidRPr="00C31754" w:rsidRDefault="00115B39" w:rsidP="00D634BA">
            <w:pPr>
              <w:rPr>
                <w:rFonts w:cs="Arial"/>
                <w:color w:val="000000"/>
                <w:sz w:val="20"/>
                <w:szCs w:val="20"/>
              </w:rPr>
            </w:pPr>
            <w:r w:rsidRPr="00C31754">
              <w:rPr>
                <w:rFonts w:cs="Arial"/>
                <w:color w:val="000000"/>
                <w:sz w:val="20"/>
                <w:szCs w:val="20"/>
              </w:rPr>
              <w:t>PRACOWNIK A</w:t>
            </w:r>
          </w:p>
        </w:tc>
        <w:tc>
          <w:tcPr>
            <w:tcW w:w="1470" w:type="dxa"/>
            <w:tcBorders>
              <w:top w:val="nil"/>
              <w:left w:val="nil"/>
              <w:bottom w:val="single" w:sz="8" w:space="0" w:color="auto"/>
              <w:right w:val="single" w:sz="8" w:space="0" w:color="auto"/>
            </w:tcBorders>
            <w:shd w:val="clear" w:color="auto" w:fill="auto"/>
            <w:noWrap/>
            <w:vAlign w:val="center"/>
            <w:hideMark/>
          </w:tcPr>
          <w:p w14:paraId="2E40BFF8" w14:textId="77777777" w:rsidR="00115B39" w:rsidRPr="00C31754" w:rsidRDefault="00115B39" w:rsidP="00D634BA">
            <w:pPr>
              <w:rPr>
                <w:rFonts w:cs="Arial"/>
                <w:color w:val="000000"/>
                <w:sz w:val="20"/>
                <w:szCs w:val="20"/>
              </w:rPr>
            </w:pPr>
            <w:r w:rsidRPr="00C31754">
              <w:rPr>
                <w:rFonts w:cs="Arial"/>
                <w:color w:val="000000"/>
                <w:sz w:val="20"/>
                <w:szCs w:val="20"/>
              </w:rPr>
              <w:t>PK1</w:t>
            </w:r>
          </w:p>
        </w:tc>
        <w:tc>
          <w:tcPr>
            <w:tcW w:w="160" w:type="dxa"/>
            <w:tcBorders>
              <w:top w:val="nil"/>
              <w:left w:val="nil"/>
              <w:bottom w:val="single" w:sz="8" w:space="0" w:color="auto"/>
              <w:right w:val="nil"/>
            </w:tcBorders>
          </w:tcPr>
          <w:p w14:paraId="051159D3" w14:textId="77777777" w:rsidR="00115B39" w:rsidRPr="00C31754" w:rsidRDefault="00115B39" w:rsidP="00D634BA">
            <w:pPr>
              <w:jc w:val="center"/>
              <w:rPr>
                <w:rFonts w:cs="Arial"/>
                <w:color w:val="000000"/>
                <w:sz w:val="20"/>
                <w:szCs w:val="20"/>
              </w:rPr>
            </w:pPr>
          </w:p>
        </w:tc>
        <w:tc>
          <w:tcPr>
            <w:tcW w:w="2241" w:type="dxa"/>
            <w:tcBorders>
              <w:top w:val="nil"/>
              <w:left w:val="nil"/>
              <w:bottom w:val="single" w:sz="8" w:space="0" w:color="auto"/>
              <w:right w:val="single" w:sz="8" w:space="0" w:color="auto"/>
            </w:tcBorders>
            <w:shd w:val="clear" w:color="auto" w:fill="auto"/>
            <w:noWrap/>
            <w:vAlign w:val="center"/>
            <w:hideMark/>
          </w:tcPr>
          <w:p w14:paraId="05AFA722" w14:textId="77777777" w:rsidR="00115B39" w:rsidRPr="00C31754" w:rsidRDefault="00115B39" w:rsidP="00D634BA">
            <w:pPr>
              <w:jc w:val="center"/>
              <w:rPr>
                <w:rFonts w:cs="Arial"/>
                <w:color w:val="000000"/>
                <w:sz w:val="20"/>
                <w:szCs w:val="20"/>
              </w:rPr>
            </w:pPr>
            <w:r w:rsidRPr="00C31754">
              <w:rPr>
                <w:rFonts w:cs="Arial"/>
                <w:color w:val="000000"/>
                <w:sz w:val="20"/>
                <w:szCs w:val="20"/>
              </w:rPr>
              <w:t>20%</w:t>
            </w:r>
          </w:p>
        </w:tc>
        <w:tc>
          <w:tcPr>
            <w:tcW w:w="2000" w:type="dxa"/>
            <w:tcBorders>
              <w:top w:val="nil"/>
              <w:left w:val="nil"/>
              <w:bottom w:val="single" w:sz="8" w:space="0" w:color="auto"/>
              <w:right w:val="single" w:sz="8" w:space="0" w:color="auto"/>
            </w:tcBorders>
            <w:shd w:val="clear" w:color="000000" w:fill="FFFFFF"/>
            <w:noWrap/>
            <w:vAlign w:val="center"/>
            <w:hideMark/>
          </w:tcPr>
          <w:p w14:paraId="3EAB6EA9" w14:textId="77777777" w:rsidR="00115B39" w:rsidRPr="00C31754" w:rsidRDefault="00115B39" w:rsidP="00D634BA">
            <w:pPr>
              <w:jc w:val="center"/>
              <w:rPr>
                <w:rFonts w:cs="Arial"/>
                <w:color w:val="000000"/>
                <w:sz w:val="20"/>
                <w:szCs w:val="20"/>
              </w:rPr>
            </w:pPr>
            <w:r w:rsidRPr="00C31754">
              <w:rPr>
                <w:rFonts w:cs="Arial"/>
                <w:color w:val="000000"/>
                <w:sz w:val="20"/>
                <w:szCs w:val="20"/>
              </w:rPr>
              <w:t>33%</w:t>
            </w:r>
          </w:p>
        </w:tc>
        <w:tc>
          <w:tcPr>
            <w:tcW w:w="1702" w:type="dxa"/>
            <w:tcBorders>
              <w:top w:val="nil"/>
              <w:left w:val="nil"/>
              <w:bottom w:val="single" w:sz="8" w:space="0" w:color="auto"/>
              <w:right w:val="single" w:sz="8" w:space="0" w:color="auto"/>
            </w:tcBorders>
            <w:shd w:val="clear" w:color="000000" w:fill="FFFFFF"/>
            <w:noWrap/>
            <w:vAlign w:val="center"/>
            <w:hideMark/>
          </w:tcPr>
          <w:p w14:paraId="51C122C9" w14:textId="77777777" w:rsidR="00115B39" w:rsidRPr="00C31754" w:rsidRDefault="00115B39" w:rsidP="00D634BA">
            <w:pPr>
              <w:jc w:val="right"/>
              <w:rPr>
                <w:rFonts w:cs="Arial"/>
                <w:color w:val="000000"/>
                <w:sz w:val="20"/>
                <w:szCs w:val="20"/>
              </w:rPr>
            </w:pPr>
            <w:r w:rsidRPr="00C31754">
              <w:rPr>
                <w:rFonts w:cs="Arial"/>
                <w:color w:val="000000"/>
                <w:sz w:val="20"/>
                <w:szCs w:val="20"/>
              </w:rPr>
              <w:t>3 300 zł</w:t>
            </w:r>
          </w:p>
        </w:tc>
      </w:tr>
      <w:tr w:rsidR="00115B39" w:rsidRPr="002245F9" w14:paraId="0EF244A7" w14:textId="77777777" w:rsidTr="00D634BA">
        <w:trPr>
          <w:trHeight w:val="272"/>
        </w:trPr>
        <w:tc>
          <w:tcPr>
            <w:tcW w:w="1799" w:type="dxa"/>
            <w:vMerge/>
            <w:tcBorders>
              <w:top w:val="nil"/>
              <w:left w:val="single" w:sz="8" w:space="0" w:color="auto"/>
              <w:bottom w:val="single" w:sz="8" w:space="0" w:color="000000"/>
              <w:right w:val="single" w:sz="8" w:space="0" w:color="auto"/>
            </w:tcBorders>
            <w:vAlign w:val="center"/>
            <w:hideMark/>
          </w:tcPr>
          <w:p w14:paraId="7D9A07A3" w14:textId="77777777" w:rsidR="00115B39" w:rsidRPr="00C31754" w:rsidRDefault="00115B39" w:rsidP="00D634BA">
            <w:pPr>
              <w:rPr>
                <w:rFonts w:cs="Arial"/>
                <w:color w:val="000000"/>
                <w:sz w:val="20"/>
                <w:szCs w:val="20"/>
              </w:rPr>
            </w:pPr>
          </w:p>
        </w:tc>
        <w:tc>
          <w:tcPr>
            <w:tcW w:w="1470" w:type="dxa"/>
            <w:tcBorders>
              <w:top w:val="nil"/>
              <w:left w:val="nil"/>
              <w:bottom w:val="single" w:sz="8" w:space="0" w:color="auto"/>
              <w:right w:val="single" w:sz="8" w:space="0" w:color="auto"/>
            </w:tcBorders>
            <w:shd w:val="clear" w:color="auto" w:fill="auto"/>
            <w:noWrap/>
            <w:vAlign w:val="center"/>
            <w:hideMark/>
          </w:tcPr>
          <w:p w14:paraId="1923EAA2" w14:textId="77777777" w:rsidR="00115B39" w:rsidRPr="00C31754" w:rsidRDefault="00115B39" w:rsidP="00D634BA">
            <w:pPr>
              <w:rPr>
                <w:rFonts w:cs="Arial"/>
                <w:color w:val="000000"/>
                <w:sz w:val="20"/>
                <w:szCs w:val="20"/>
              </w:rPr>
            </w:pPr>
            <w:r w:rsidRPr="00C31754">
              <w:rPr>
                <w:rFonts w:cs="Arial"/>
                <w:color w:val="000000"/>
                <w:sz w:val="20"/>
                <w:szCs w:val="20"/>
              </w:rPr>
              <w:t>PK2</w:t>
            </w:r>
          </w:p>
        </w:tc>
        <w:tc>
          <w:tcPr>
            <w:tcW w:w="160" w:type="dxa"/>
            <w:tcBorders>
              <w:top w:val="nil"/>
              <w:left w:val="nil"/>
              <w:bottom w:val="single" w:sz="8" w:space="0" w:color="auto"/>
              <w:right w:val="nil"/>
            </w:tcBorders>
          </w:tcPr>
          <w:p w14:paraId="11ED0A6B" w14:textId="77777777" w:rsidR="00115B39" w:rsidRPr="00C31754" w:rsidRDefault="00115B39" w:rsidP="00D634BA">
            <w:pPr>
              <w:jc w:val="center"/>
              <w:rPr>
                <w:rFonts w:cs="Arial"/>
                <w:color w:val="000000"/>
                <w:sz w:val="20"/>
                <w:szCs w:val="20"/>
              </w:rPr>
            </w:pPr>
          </w:p>
        </w:tc>
        <w:tc>
          <w:tcPr>
            <w:tcW w:w="2241" w:type="dxa"/>
            <w:tcBorders>
              <w:top w:val="nil"/>
              <w:left w:val="nil"/>
              <w:bottom w:val="single" w:sz="8" w:space="0" w:color="auto"/>
              <w:right w:val="single" w:sz="8" w:space="0" w:color="auto"/>
            </w:tcBorders>
            <w:shd w:val="clear" w:color="auto" w:fill="auto"/>
            <w:noWrap/>
            <w:vAlign w:val="center"/>
            <w:hideMark/>
          </w:tcPr>
          <w:p w14:paraId="4DB55BE0" w14:textId="77777777" w:rsidR="00115B39" w:rsidRPr="00C31754" w:rsidRDefault="00115B39" w:rsidP="00D634BA">
            <w:pPr>
              <w:jc w:val="center"/>
              <w:rPr>
                <w:rFonts w:cs="Arial"/>
                <w:color w:val="000000"/>
                <w:sz w:val="20"/>
                <w:szCs w:val="20"/>
              </w:rPr>
            </w:pPr>
            <w:r w:rsidRPr="00C31754">
              <w:rPr>
                <w:rFonts w:cs="Arial"/>
                <w:color w:val="000000"/>
                <w:sz w:val="20"/>
                <w:szCs w:val="20"/>
              </w:rPr>
              <w:t>30%</w:t>
            </w:r>
          </w:p>
        </w:tc>
        <w:tc>
          <w:tcPr>
            <w:tcW w:w="2000" w:type="dxa"/>
            <w:tcBorders>
              <w:top w:val="nil"/>
              <w:left w:val="nil"/>
              <w:bottom w:val="single" w:sz="8" w:space="0" w:color="auto"/>
              <w:right w:val="single" w:sz="8" w:space="0" w:color="auto"/>
            </w:tcBorders>
            <w:shd w:val="clear" w:color="000000" w:fill="FFFFFF"/>
            <w:noWrap/>
            <w:vAlign w:val="center"/>
            <w:hideMark/>
          </w:tcPr>
          <w:p w14:paraId="41927246" w14:textId="77777777" w:rsidR="00115B39" w:rsidRPr="00C31754" w:rsidRDefault="00115B39" w:rsidP="00D634BA">
            <w:pPr>
              <w:jc w:val="center"/>
              <w:rPr>
                <w:rFonts w:cs="Arial"/>
                <w:color w:val="000000"/>
                <w:sz w:val="20"/>
                <w:szCs w:val="20"/>
              </w:rPr>
            </w:pPr>
            <w:r w:rsidRPr="00C31754">
              <w:rPr>
                <w:rFonts w:cs="Arial"/>
                <w:color w:val="000000"/>
                <w:sz w:val="20"/>
                <w:szCs w:val="20"/>
              </w:rPr>
              <w:t>50%</w:t>
            </w:r>
          </w:p>
        </w:tc>
        <w:tc>
          <w:tcPr>
            <w:tcW w:w="1702" w:type="dxa"/>
            <w:tcBorders>
              <w:top w:val="nil"/>
              <w:left w:val="nil"/>
              <w:bottom w:val="single" w:sz="8" w:space="0" w:color="auto"/>
              <w:right w:val="single" w:sz="8" w:space="0" w:color="auto"/>
            </w:tcBorders>
            <w:shd w:val="clear" w:color="000000" w:fill="FFFFFF"/>
            <w:noWrap/>
            <w:vAlign w:val="center"/>
            <w:hideMark/>
          </w:tcPr>
          <w:p w14:paraId="2A36AF5D" w14:textId="77777777" w:rsidR="00115B39" w:rsidRPr="00C31754" w:rsidRDefault="00115B39" w:rsidP="00D634BA">
            <w:pPr>
              <w:jc w:val="right"/>
              <w:rPr>
                <w:rFonts w:cs="Arial"/>
                <w:color w:val="000000"/>
                <w:sz w:val="20"/>
                <w:szCs w:val="20"/>
              </w:rPr>
            </w:pPr>
            <w:r w:rsidRPr="00C31754">
              <w:rPr>
                <w:rFonts w:cs="Arial"/>
                <w:color w:val="000000"/>
                <w:sz w:val="20"/>
                <w:szCs w:val="20"/>
              </w:rPr>
              <w:t>5 000 zł</w:t>
            </w:r>
          </w:p>
        </w:tc>
      </w:tr>
      <w:tr w:rsidR="00115B39" w:rsidRPr="002245F9" w14:paraId="0172B662" w14:textId="77777777" w:rsidTr="00D634BA">
        <w:trPr>
          <w:trHeight w:val="272"/>
        </w:trPr>
        <w:tc>
          <w:tcPr>
            <w:tcW w:w="1799" w:type="dxa"/>
            <w:vMerge/>
            <w:tcBorders>
              <w:top w:val="nil"/>
              <w:left w:val="single" w:sz="8" w:space="0" w:color="auto"/>
              <w:bottom w:val="single" w:sz="8" w:space="0" w:color="000000"/>
              <w:right w:val="single" w:sz="8" w:space="0" w:color="auto"/>
            </w:tcBorders>
            <w:vAlign w:val="center"/>
            <w:hideMark/>
          </w:tcPr>
          <w:p w14:paraId="7F40612D" w14:textId="77777777" w:rsidR="00115B39" w:rsidRPr="00C31754" w:rsidRDefault="00115B39" w:rsidP="00D634BA">
            <w:pPr>
              <w:rPr>
                <w:rFonts w:cs="Arial"/>
                <w:color w:val="000000"/>
                <w:sz w:val="20"/>
                <w:szCs w:val="20"/>
              </w:rPr>
            </w:pPr>
          </w:p>
        </w:tc>
        <w:tc>
          <w:tcPr>
            <w:tcW w:w="1470" w:type="dxa"/>
            <w:tcBorders>
              <w:top w:val="nil"/>
              <w:left w:val="nil"/>
              <w:bottom w:val="single" w:sz="8" w:space="0" w:color="auto"/>
              <w:right w:val="single" w:sz="8" w:space="0" w:color="auto"/>
            </w:tcBorders>
            <w:shd w:val="clear" w:color="auto" w:fill="auto"/>
            <w:noWrap/>
            <w:vAlign w:val="center"/>
            <w:hideMark/>
          </w:tcPr>
          <w:p w14:paraId="63DD097C" w14:textId="77777777" w:rsidR="00115B39" w:rsidRPr="00C31754" w:rsidRDefault="00115B39" w:rsidP="00D634BA">
            <w:pPr>
              <w:rPr>
                <w:rFonts w:cs="Arial"/>
                <w:color w:val="000000"/>
                <w:sz w:val="20"/>
                <w:szCs w:val="20"/>
              </w:rPr>
            </w:pPr>
            <w:r w:rsidRPr="00C31754">
              <w:rPr>
                <w:rFonts w:cs="Arial"/>
                <w:color w:val="000000"/>
                <w:sz w:val="20"/>
                <w:szCs w:val="20"/>
              </w:rPr>
              <w:t>PK3</w:t>
            </w:r>
          </w:p>
        </w:tc>
        <w:tc>
          <w:tcPr>
            <w:tcW w:w="160" w:type="dxa"/>
            <w:tcBorders>
              <w:top w:val="nil"/>
              <w:left w:val="nil"/>
              <w:bottom w:val="single" w:sz="8" w:space="0" w:color="auto"/>
              <w:right w:val="nil"/>
            </w:tcBorders>
          </w:tcPr>
          <w:p w14:paraId="31C1C9EA" w14:textId="77777777" w:rsidR="00115B39" w:rsidRPr="00C31754" w:rsidRDefault="00115B39" w:rsidP="00D634BA">
            <w:pPr>
              <w:jc w:val="center"/>
              <w:rPr>
                <w:rFonts w:cs="Arial"/>
                <w:color w:val="000000"/>
                <w:sz w:val="20"/>
                <w:szCs w:val="20"/>
              </w:rPr>
            </w:pPr>
          </w:p>
        </w:tc>
        <w:tc>
          <w:tcPr>
            <w:tcW w:w="2241" w:type="dxa"/>
            <w:tcBorders>
              <w:top w:val="nil"/>
              <w:left w:val="nil"/>
              <w:bottom w:val="single" w:sz="8" w:space="0" w:color="auto"/>
              <w:right w:val="single" w:sz="8" w:space="0" w:color="auto"/>
            </w:tcBorders>
            <w:shd w:val="clear" w:color="auto" w:fill="auto"/>
            <w:noWrap/>
            <w:vAlign w:val="center"/>
            <w:hideMark/>
          </w:tcPr>
          <w:p w14:paraId="726BF71D" w14:textId="77777777" w:rsidR="00115B39" w:rsidRPr="00C31754" w:rsidRDefault="00115B39" w:rsidP="00D634BA">
            <w:pPr>
              <w:jc w:val="center"/>
              <w:rPr>
                <w:rFonts w:cs="Arial"/>
                <w:color w:val="000000"/>
                <w:sz w:val="20"/>
                <w:szCs w:val="20"/>
              </w:rPr>
            </w:pPr>
            <w:r w:rsidRPr="00C31754">
              <w:rPr>
                <w:rFonts w:cs="Arial"/>
                <w:color w:val="000000"/>
                <w:sz w:val="20"/>
                <w:szCs w:val="20"/>
              </w:rPr>
              <w:t>10%</w:t>
            </w:r>
          </w:p>
        </w:tc>
        <w:tc>
          <w:tcPr>
            <w:tcW w:w="2000" w:type="dxa"/>
            <w:tcBorders>
              <w:top w:val="nil"/>
              <w:left w:val="nil"/>
              <w:bottom w:val="single" w:sz="8" w:space="0" w:color="auto"/>
              <w:right w:val="single" w:sz="8" w:space="0" w:color="auto"/>
            </w:tcBorders>
            <w:shd w:val="clear" w:color="000000" w:fill="FFFFFF"/>
            <w:noWrap/>
            <w:vAlign w:val="center"/>
            <w:hideMark/>
          </w:tcPr>
          <w:p w14:paraId="32F3FCF6" w14:textId="77777777" w:rsidR="00115B39" w:rsidRPr="00C31754" w:rsidRDefault="00115B39" w:rsidP="00D634BA">
            <w:pPr>
              <w:jc w:val="center"/>
              <w:rPr>
                <w:rFonts w:cs="Arial"/>
                <w:color w:val="000000"/>
                <w:sz w:val="20"/>
                <w:szCs w:val="20"/>
              </w:rPr>
            </w:pPr>
            <w:r w:rsidRPr="00C31754">
              <w:rPr>
                <w:rFonts w:cs="Arial"/>
                <w:color w:val="000000"/>
                <w:sz w:val="20"/>
                <w:szCs w:val="20"/>
              </w:rPr>
              <w:t>17%</w:t>
            </w:r>
          </w:p>
        </w:tc>
        <w:tc>
          <w:tcPr>
            <w:tcW w:w="1702" w:type="dxa"/>
            <w:tcBorders>
              <w:top w:val="nil"/>
              <w:left w:val="nil"/>
              <w:bottom w:val="single" w:sz="8" w:space="0" w:color="auto"/>
              <w:right w:val="single" w:sz="8" w:space="0" w:color="auto"/>
            </w:tcBorders>
            <w:shd w:val="clear" w:color="000000" w:fill="FFFFFF"/>
            <w:noWrap/>
            <w:vAlign w:val="center"/>
            <w:hideMark/>
          </w:tcPr>
          <w:p w14:paraId="553C32B9" w14:textId="77777777" w:rsidR="00115B39" w:rsidRPr="00C31754" w:rsidRDefault="00115B39" w:rsidP="00D634BA">
            <w:pPr>
              <w:jc w:val="right"/>
              <w:rPr>
                <w:rFonts w:cs="Arial"/>
                <w:color w:val="000000"/>
                <w:sz w:val="20"/>
                <w:szCs w:val="20"/>
              </w:rPr>
            </w:pPr>
            <w:r w:rsidRPr="00C31754">
              <w:rPr>
                <w:rFonts w:cs="Arial"/>
                <w:color w:val="000000"/>
                <w:sz w:val="20"/>
                <w:szCs w:val="20"/>
              </w:rPr>
              <w:t>1 700 zł</w:t>
            </w:r>
          </w:p>
        </w:tc>
      </w:tr>
      <w:tr w:rsidR="00115B39" w:rsidRPr="002245F9" w14:paraId="7C90F33E" w14:textId="77777777" w:rsidTr="00D634BA">
        <w:trPr>
          <w:trHeight w:val="272"/>
        </w:trPr>
        <w:tc>
          <w:tcPr>
            <w:tcW w:w="1799" w:type="dxa"/>
            <w:vMerge/>
            <w:tcBorders>
              <w:top w:val="nil"/>
              <w:left w:val="single" w:sz="8" w:space="0" w:color="auto"/>
              <w:bottom w:val="single" w:sz="8" w:space="0" w:color="000000"/>
              <w:right w:val="single" w:sz="8" w:space="0" w:color="auto"/>
            </w:tcBorders>
            <w:vAlign w:val="center"/>
            <w:hideMark/>
          </w:tcPr>
          <w:p w14:paraId="28CB728B" w14:textId="77777777" w:rsidR="00115B39" w:rsidRPr="00C31754" w:rsidRDefault="00115B39" w:rsidP="00D634BA">
            <w:pPr>
              <w:rPr>
                <w:rFonts w:cs="Arial"/>
                <w:color w:val="000000"/>
                <w:sz w:val="20"/>
                <w:szCs w:val="20"/>
              </w:rPr>
            </w:pPr>
          </w:p>
        </w:tc>
        <w:tc>
          <w:tcPr>
            <w:tcW w:w="1470" w:type="dxa"/>
            <w:tcBorders>
              <w:top w:val="nil"/>
              <w:left w:val="nil"/>
              <w:bottom w:val="single" w:sz="8" w:space="0" w:color="auto"/>
              <w:right w:val="single" w:sz="8" w:space="0" w:color="auto"/>
            </w:tcBorders>
            <w:shd w:val="clear" w:color="auto" w:fill="auto"/>
            <w:noWrap/>
            <w:vAlign w:val="center"/>
            <w:hideMark/>
          </w:tcPr>
          <w:p w14:paraId="1FF60708" w14:textId="77777777" w:rsidR="00115B39" w:rsidRPr="00C31754" w:rsidRDefault="00115B39" w:rsidP="00D634BA">
            <w:pPr>
              <w:rPr>
                <w:rFonts w:cs="Arial"/>
                <w:color w:val="000000"/>
                <w:sz w:val="20"/>
                <w:szCs w:val="20"/>
              </w:rPr>
            </w:pPr>
            <w:r w:rsidRPr="00C31754">
              <w:rPr>
                <w:rFonts w:cs="Arial"/>
                <w:color w:val="000000"/>
                <w:sz w:val="20"/>
                <w:szCs w:val="20"/>
              </w:rPr>
              <w:t>Razem</w:t>
            </w:r>
          </w:p>
        </w:tc>
        <w:tc>
          <w:tcPr>
            <w:tcW w:w="160" w:type="dxa"/>
            <w:tcBorders>
              <w:top w:val="nil"/>
              <w:left w:val="nil"/>
              <w:bottom w:val="single" w:sz="8" w:space="0" w:color="auto"/>
              <w:right w:val="nil"/>
            </w:tcBorders>
          </w:tcPr>
          <w:p w14:paraId="3C78764A" w14:textId="77777777" w:rsidR="00115B39" w:rsidRPr="00C31754" w:rsidRDefault="00115B39" w:rsidP="00D634BA">
            <w:pPr>
              <w:jc w:val="center"/>
              <w:rPr>
                <w:rFonts w:cs="Arial"/>
                <w:color w:val="000000"/>
                <w:sz w:val="20"/>
                <w:szCs w:val="20"/>
              </w:rPr>
            </w:pPr>
          </w:p>
        </w:tc>
        <w:tc>
          <w:tcPr>
            <w:tcW w:w="2241" w:type="dxa"/>
            <w:tcBorders>
              <w:top w:val="nil"/>
              <w:left w:val="nil"/>
              <w:bottom w:val="single" w:sz="8" w:space="0" w:color="auto"/>
              <w:right w:val="single" w:sz="8" w:space="0" w:color="auto"/>
            </w:tcBorders>
            <w:shd w:val="clear" w:color="auto" w:fill="auto"/>
            <w:noWrap/>
            <w:vAlign w:val="center"/>
            <w:hideMark/>
          </w:tcPr>
          <w:p w14:paraId="745ED5CD" w14:textId="77777777" w:rsidR="00115B39" w:rsidRPr="00C31754" w:rsidRDefault="00115B39" w:rsidP="00D634BA">
            <w:pPr>
              <w:jc w:val="center"/>
              <w:rPr>
                <w:rFonts w:cs="Arial"/>
                <w:color w:val="000000"/>
                <w:sz w:val="20"/>
                <w:szCs w:val="20"/>
              </w:rPr>
            </w:pPr>
            <w:r w:rsidRPr="00C31754">
              <w:rPr>
                <w:rFonts w:cs="Arial"/>
                <w:color w:val="000000"/>
                <w:sz w:val="20"/>
                <w:szCs w:val="20"/>
              </w:rPr>
              <w:t>60%</w:t>
            </w:r>
          </w:p>
        </w:tc>
        <w:tc>
          <w:tcPr>
            <w:tcW w:w="2000" w:type="dxa"/>
            <w:tcBorders>
              <w:top w:val="nil"/>
              <w:left w:val="nil"/>
              <w:bottom w:val="single" w:sz="8" w:space="0" w:color="auto"/>
              <w:right w:val="single" w:sz="8" w:space="0" w:color="auto"/>
            </w:tcBorders>
            <w:shd w:val="clear" w:color="000000" w:fill="FFFFFF"/>
            <w:noWrap/>
            <w:vAlign w:val="center"/>
            <w:hideMark/>
          </w:tcPr>
          <w:p w14:paraId="753D049E" w14:textId="77777777" w:rsidR="00115B39" w:rsidRPr="00C31754" w:rsidRDefault="00115B39" w:rsidP="00D634BA">
            <w:pPr>
              <w:jc w:val="center"/>
              <w:rPr>
                <w:rFonts w:cs="Arial"/>
                <w:color w:val="000000"/>
                <w:sz w:val="20"/>
                <w:szCs w:val="20"/>
              </w:rPr>
            </w:pPr>
            <w:r w:rsidRPr="00C31754">
              <w:rPr>
                <w:rFonts w:cs="Arial"/>
                <w:color w:val="000000"/>
                <w:sz w:val="20"/>
                <w:szCs w:val="20"/>
              </w:rPr>
              <w:t>100%</w:t>
            </w:r>
          </w:p>
        </w:tc>
        <w:tc>
          <w:tcPr>
            <w:tcW w:w="1702" w:type="dxa"/>
            <w:tcBorders>
              <w:top w:val="nil"/>
              <w:left w:val="nil"/>
              <w:bottom w:val="single" w:sz="8" w:space="0" w:color="auto"/>
              <w:right w:val="single" w:sz="8" w:space="0" w:color="auto"/>
            </w:tcBorders>
            <w:shd w:val="clear" w:color="000000" w:fill="FFFFFF"/>
            <w:noWrap/>
            <w:vAlign w:val="center"/>
            <w:hideMark/>
          </w:tcPr>
          <w:p w14:paraId="40E71803" w14:textId="77777777" w:rsidR="00115B39" w:rsidRPr="00C31754" w:rsidRDefault="00115B39" w:rsidP="00D634BA">
            <w:pPr>
              <w:jc w:val="right"/>
              <w:rPr>
                <w:rFonts w:cs="Arial"/>
                <w:color w:val="000000"/>
                <w:sz w:val="20"/>
                <w:szCs w:val="20"/>
              </w:rPr>
            </w:pPr>
            <w:r w:rsidRPr="00C31754">
              <w:rPr>
                <w:rFonts w:cs="Arial"/>
                <w:color w:val="000000"/>
                <w:sz w:val="20"/>
                <w:szCs w:val="20"/>
              </w:rPr>
              <w:t>10 000 zł</w:t>
            </w:r>
          </w:p>
        </w:tc>
      </w:tr>
      <w:tr w:rsidR="00115B39" w:rsidRPr="002245F9" w14:paraId="45B422E4" w14:textId="77777777" w:rsidTr="00D634BA">
        <w:trPr>
          <w:trHeight w:val="272"/>
        </w:trPr>
        <w:tc>
          <w:tcPr>
            <w:tcW w:w="1799" w:type="dxa"/>
            <w:vMerge/>
            <w:tcBorders>
              <w:top w:val="nil"/>
              <w:left w:val="single" w:sz="8" w:space="0" w:color="auto"/>
              <w:bottom w:val="single" w:sz="8" w:space="0" w:color="000000"/>
              <w:right w:val="single" w:sz="8" w:space="0" w:color="auto"/>
            </w:tcBorders>
            <w:vAlign w:val="center"/>
            <w:hideMark/>
          </w:tcPr>
          <w:p w14:paraId="5FD08EA7" w14:textId="77777777" w:rsidR="00115B39" w:rsidRPr="00C31754" w:rsidRDefault="00115B39" w:rsidP="00D634BA">
            <w:pPr>
              <w:rPr>
                <w:rFonts w:cs="Arial"/>
                <w:color w:val="000000"/>
                <w:sz w:val="20"/>
                <w:szCs w:val="20"/>
              </w:rPr>
            </w:pPr>
          </w:p>
        </w:tc>
        <w:tc>
          <w:tcPr>
            <w:tcW w:w="1470" w:type="dxa"/>
            <w:tcBorders>
              <w:top w:val="nil"/>
              <w:left w:val="nil"/>
              <w:bottom w:val="single" w:sz="8" w:space="0" w:color="auto"/>
              <w:right w:val="single" w:sz="8" w:space="0" w:color="auto"/>
            </w:tcBorders>
            <w:shd w:val="clear" w:color="auto" w:fill="auto"/>
            <w:noWrap/>
            <w:vAlign w:val="center"/>
            <w:hideMark/>
          </w:tcPr>
          <w:p w14:paraId="5EFD83B1" w14:textId="77777777" w:rsidR="00115B39" w:rsidRPr="00C31754" w:rsidRDefault="00115B39" w:rsidP="00D634BA">
            <w:pPr>
              <w:rPr>
                <w:rFonts w:cs="Arial"/>
                <w:color w:val="000000"/>
                <w:sz w:val="20"/>
                <w:szCs w:val="20"/>
              </w:rPr>
            </w:pPr>
            <w:r w:rsidRPr="00C31754">
              <w:rPr>
                <w:rFonts w:cs="Arial"/>
                <w:color w:val="000000"/>
                <w:sz w:val="20"/>
                <w:szCs w:val="20"/>
              </w:rPr>
              <w:t>Inne</w:t>
            </w:r>
          </w:p>
        </w:tc>
        <w:tc>
          <w:tcPr>
            <w:tcW w:w="160" w:type="dxa"/>
            <w:tcBorders>
              <w:top w:val="nil"/>
              <w:left w:val="nil"/>
              <w:bottom w:val="single" w:sz="8" w:space="0" w:color="auto"/>
              <w:right w:val="nil"/>
            </w:tcBorders>
          </w:tcPr>
          <w:p w14:paraId="3EB21423" w14:textId="77777777" w:rsidR="00115B39" w:rsidRPr="00C31754" w:rsidRDefault="00115B39" w:rsidP="00D634BA">
            <w:pPr>
              <w:jc w:val="center"/>
              <w:rPr>
                <w:rFonts w:cs="Arial"/>
                <w:color w:val="000000"/>
                <w:sz w:val="20"/>
                <w:szCs w:val="20"/>
              </w:rPr>
            </w:pPr>
          </w:p>
        </w:tc>
        <w:tc>
          <w:tcPr>
            <w:tcW w:w="2241" w:type="dxa"/>
            <w:tcBorders>
              <w:top w:val="nil"/>
              <w:left w:val="nil"/>
              <w:bottom w:val="single" w:sz="8" w:space="0" w:color="auto"/>
              <w:right w:val="single" w:sz="8" w:space="0" w:color="auto"/>
            </w:tcBorders>
            <w:shd w:val="clear" w:color="auto" w:fill="auto"/>
            <w:noWrap/>
            <w:vAlign w:val="center"/>
            <w:hideMark/>
          </w:tcPr>
          <w:p w14:paraId="50BB5FB3" w14:textId="77777777" w:rsidR="00115B39" w:rsidRPr="00C31754" w:rsidRDefault="00115B39" w:rsidP="00D634BA">
            <w:pPr>
              <w:jc w:val="center"/>
              <w:rPr>
                <w:rFonts w:cs="Arial"/>
                <w:color w:val="000000"/>
                <w:sz w:val="20"/>
                <w:szCs w:val="20"/>
              </w:rPr>
            </w:pPr>
            <w:r w:rsidRPr="00C31754">
              <w:rPr>
                <w:rFonts w:cs="Arial"/>
                <w:color w:val="000000"/>
                <w:sz w:val="20"/>
                <w:szCs w:val="20"/>
              </w:rPr>
              <w:t>40%</w:t>
            </w:r>
          </w:p>
        </w:tc>
        <w:tc>
          <w:tcPr>
            <w:tcW w:w="2000" w:type="dxa"/>
            <w:tcBorders>
              <w:top w:val="nil"/>
              <w:left w:val="nil"/>
              <w:bottom w:val="single" w:sz="8" w:space="0" w:color="auto"/>
              <w:right w:val="single" w:sz="8" w:space="0" w:color="auto"/>
            </w:tcBorders>
            <w:shd w:val="clear" w:color="000000" w:fill="D9D9D9"/>
            <w:noWrap/>
            <w:vAlign w:val="center"/>
            <w:hideMark/>
          </w:tcPr>
          <w:p w14:paraId="3F533FD4" w14:textId="77777777" w:rsidR="00115B39" w:rsidRPr="00C31754" w:rsidRDefault="00115B39" w:rsidP="00D634BA">
            <w:pPr>
              <w:rPr>
                <w:rFonts w:cs="Arial"/>
                <w:color w:val="000000"/>
                <w:sz w:val="20"/>
                <w:szCs w:val="20"/>
              </w:rPr>
            </w:pPr>
            <w:r w:rsidRPr="00C31754">
              <w:rPr>
                <w:rFonts w:cs="Arial"/>
                <w:color w:val="000000"/>
                <w:sz w:val="20"/>
                <w:szCs w:val="20"/>
              </w:rPr>
              <w:t> </w:t>
            </w:r>
          </w:p>
        </w:tc>
        <w:tc>
          <w:tcPr>
            <w:tcW w:w="1702" w:type="dxa"/>
            <w:tcBorders>
              <w:top w:val="nil"/>
              <w:left w:val="nil"/>
              <w:bottom w:val="single" w:sz="8" w:space="0" w:color="auto"/>
              <w:right w:val="single" w:sz="8" w:space="0" w:color="auto"/>
            </w:tcBorders>
            <w:shd w:val="clear" w:color="000000" w:fill="D9D9D9"/>
            <w:noWrap/>
            <w:vAlign w:val="center"/>
            <w:hideMark/>
          </w:tcPr>
          <w:p w14:paraId="77C46DC5" w14:textId="77777777" w:rsidR="00115B39" w:rsidRPr="00C31754" w:rsidRDefault="00115B39" w:rsidP="00D634BA">
            <w:pPr>
              <w:rPr>
                <w:rFonts w:cs="Arial"/>
                <w:color w:val="000000"/>
                <w:sz w:val="20"/>
                <w:szCs w:val="20"/>
              </w:rPr>
            </w:pPr>
            <w:r w:rsidRPr="00C31754">
              <w:rPr>
                <w:rFonts w:cs="Arial"/>
                <w:color w:val="000000"/>
                <w:sz w:val="20"/>
                <w:szCs w:val="20"/>
              </w:rPr>
              <w:t> </w:t>
            </w:r>
          </w:p>
        </w:tc>
      </w:tr>
    </w:tbl>
    <w:p w14:paraId="2AAB5647" w14:textId="77777777" w:rsidR="00115B39" w:rsidRDefault="00115B39" w:rsidP="00115B39">
      <w:pPr>
        <w:pStyle w:val="Default"/>
        <w:spacing w:before="240" w:after="240"/>
        <w:ind w:left="907" w:hanging="567"/>
        <w:rPr>
          <w:rFonts w:ascii="Arial" w:hAnsi="Arial" w:cs="Arial"/>
        </w:rPr>
      </w:pPr>
      <w:r>
        <w:rPr>
          <w:rFonts w:ascii="Arial" w:hAnsi="Arial" w:cs="Arial"/>
        </w:rPr>
        <w:t>Współczynnik finansowania obliczamy zgodnie ze wzorem:</w:t>
      </w:r>
    </w:p>
    <w:p w14:paraId="0A19A648" w14:textId="77777777" w:rsidR="00115B39" w:rsidRPr="002245F9" w:rsidRDefault="00115B39" w:rsidP="00115B39">
      <w:pPr>
        <w:pStyle w:val="Default"/>
        <w:spacing w:before="240" w:after="240"/>
        <w:ind w:left="567" w:hanging="567"/>
        <w:rPr>
          <w:rFonts w:ascii="Arial" w:hAnsi="Arial" w:cs="Arial"/>
        </w:rPr>
      </w:pPr>
      <w:r w:rsidRPr="002245F9">
        <w:rPr>
          <w:rFonts w:ascii="Arial" w:hAnsi="Arial" w:cs="Arial"/>
        </w:rPr>
        <w:tab/>
      </w:r>
      <m:oMath>
        <m:r>
          <w:rPr>
            <w:rFonts w:ascii="Cambria Math" w:hAnsi="Cambria Math" w:cs="Arial"/>
          </w:rPr>
          <m:t xml:space="preserve">Współczynnik finansowania= </m:t>
        </m:r>
        <m:f>
          <m:fPr>
            <m:ctrlPr>
              <w:rPr>
                <w:rFonts w:ascii="Cambria Math" w:hAnsi="Cambria Math" w:cs="Arial"/>
                <w:i/>
                <w:color w:val="auto"/>
              </w:rPr>
            </m:ctrlPr>
          </m:fPr>
          <m:num>
            <m:r>
              <w:rPr>
                <w:rFonts w:ascii="Cambria Math" w:hAnsi="Cambria Math" w:cs="Arial"/>
                <w:color w:val="auto"/>
              </w:rPr>
              <m:t>% kwalifikowalności PK x 100%</m:t>
            </m:r>
          </m:num>
          <m:den>
            <m:nary>
              <m:naryPr>
                <m:chr m:val="∑"/>
                <m:limLoc m:val="undOvr"/>
                <m:subHide m:val="1"/>
                <m:supHide m:val="1"/>
                <m:ctrlPr>
                  <w:rPr>
                    <w:rFonts w:ascii="Cambria Math" w:hAnsi="Cambria Math" w:cs="Arial"/>
                    <w:i/>
                    <w:color w:val="auto"/>
                  </w:rPr>
                </m:ctrlPr>
              </m:naryPr>
              <m:sub/>
              <m:sup/>
              <m:e>
                <m:r>
                  <w:rPr>
                    <w:rFonts w:ascii="Cambria Math" w:hAnsi="Cambria Math" w:cs="Arial"/>
                    <w:color w:val="auto"/>
                  </w:rPr>
                  <m:t>kwalifikowalności wszytkich PK</m:t>
                </m:r>
              </m:e>
            </m:nary>
          </m:den>
        </m:f>
      </m:oMath>
    </w:p>
    <w:p w14:paraId="150CCC62" w14:textId="77777777" w:rsidR="00115B39" w:rsidRPr="002245F9" w:rsidRDefault="00115B39" w:rsidP="00115B39">
      <w:pPr>
        <w:pStyle w:val="Akapitzlist"/>
        <w:numPr>
          <w:ilvl w:val="0"/>
          <w:numId w:val="10"/>
        </w:numPr>
        <w:spacing w:before="120" w:after="120" w:line="360" w:lineRule="auto"/>
        <w:ind w:left="357" w:hanging="357"/>
        <w:rPr>
          <w:rFonts w:cs="Arial"/>
          <w:spacing w:val="4"/>
        </w:rPr>
      </w:pPr>
      <w:r w:rsidRPr="002245F9">
        <w:rPr>
          <w:rFonts w:cs="Arial"/>
          <w:spacing w:val="4"/>
        </w:rPr>
        <w:t xml:space="preserve">Jeżeli stanowisko pracy </w:t>
      </w:r>
      <w:r>
        <w:rPr>
          <w:rFonts w:cs="Arial"/>
          <w:spacing w:val="4"/>
        </w:rPr>
        <w:t>obejmuje zadania</w:t>
      </w:r>
      <w:r w:rsidRPr="002245F9">
        <w:rPr>
          <w:rFonts w:cs="Arial"/>
          <w:spacing w:val="4"/>
        </w:rPr>
        <w:t xml:space="preserve"> na rzecz więcej niż jednego programu, a szkolenie dotyczy jednego programu, wtedy koszt szkolenia ponoszony jest ze środków właściwego programu. Koszt szkolenia może być sfinansowany w całości z pomocy technicznej właściwego programu, jeżeli </w:t>
      </w:r>
      <w:r w:rsidRPr="002245F9">
        <w:rPr>
          <w:rFonts w:cs="Arial"/>
          <w:spacing w:val="4"/>
        </w:rPr>
        <w:lastRenderedPageBreak/>
        <w:t>łączny poziom kwalifikowalności stanowiska pracy jest większy lub równy 50%</w:t>
      </w:r>
      <w:r w:rsidRPr="002245F9">
        <w:t xml:space="preserve"> </w:t>
      </w:r>
      <w:r w:rsidRPr="002245F9">
        <w:rPr>
          <w:rFonts w:cs="Arial"/>
          <w:spacing w:val="4"/>
        </w:rPr>
        <w:t>na dzień pon</w:t>
      </w:r>
      <w:r>
        <w:rPr>
          <w:rFonts w:cs="Arial"/>
          <w:spacing w:val="4"/>
        </w:rPr>
        <w:t>iesi</w:t>
      </w:r>
      <w:r w:rsidRPr="002245F9">
        <w:rPr>
          <w:rFonts w:cs="Arial"/>
          <w:spacing w:val="4"/>
        </w:rPr>
        <w:t>enia wydatku.</w:t>
      </w:r>
    </w:p>
    <w:p w14:paraId="2709963B" w14:textId="77777777" w:rsidR="00115B39" w:rsidRPr="002245F9" w:rsidRDefault="00115B39" w:rsidP="00115B39">
      <w:pPr>
        <w:pStyle w:val="Akapitzlist"/>
        <w:numPr>
          <w:ilvl w:val="0"/>
          <w:numId w:val="10"/>
        </w:numPr>
        <w:spacing w:before="120" w:after="120" w:line="360" w:lineRule="auto"/>
        <w:ind w:left="357" w:hanging="357"/>
        <w:contextualSpacing w:val="0"/>
        <w:rPr>
          <w:rFonts w:cs="Arial"/>
          <w:spacing w:val="4"/>
        </w:rPr>
      </w:pPr>
      <w:r w:rsidRPr="002245F9">
        <w:rPr>
          <w:rFonts w:cs="Arial"/>
          <w:spacing w:val="4"/>
        </w:rPr>
        <w:t xml:space="preserve">Jeżeli stanowisko pracy </w:t>
      </w:r>
      <w:r>
        <w:rPr>
          <w:rFonts w:cs="Arial"/>
          <w:spacing w:val="4"/>
        </w:rPr>
        <w:t>obejmuje zadania</w:t>
      </w:r>
      <w:r w:rsidRPr="002245F9">
        <w:rPr>
          <w:rFonts w:cs="Arial"/>
          <w:spacing w:val="4"/>
        </w:rPr>
        <w:t xml:space="preserve"> na rzecz więcej niż jednego programu, koszt szkolenia może zostać poniesiony w całości ze środków programu, w którym zaangażowanie wynosi co najmniej 50%, pod warunkiem uzyskania zgody właściwej instytucji.</w:t>
      </w:r>
    </w:p>
    <w:p w14:paraId="35D52BFA" w14:textId="77777777" w:rsidR="00115B39" w:rsidRPr="002245F9" w:rsidRDefault="00115B39" w:rsidP="00115B39">
      <w:pPr>
        <w:pStyle w:val="Akapitzlist"/>
        <w:numPr>
          <w:ilvl w:val="0"/>
          <w:numId w:val="10"/>
        </w:numPr>
        <w:spacing w:before="120" w:after="120" w:line="360" w:lineRule="auto"/>
        <w:ind w:left="357" w:hanging="357"/>
        <w:rPr>
          <w:rFonts w:cs="Arial"/>
          <w:spacing w:val="4"/>
        </w:rPr>
      </w:pPr>
      <w:r w:rsidRPr="002245F9">
        <w:rPr>
          <w:rFonts w:cs="Arial"/>
          <w:spacing w:val="4"/>
        </w:rPr>
        <w:t xml:space="preserve">W odniesieniu do </w:t>
      </w:r>
      <w:r>
        <w:rPr>
          <w:rFonts w:cs="Arial"/>
          <w:spacing w:val="4"/>
        </w:rPr>
        <w:t>sytuacji</w:t>
      </w:r>
      <w:r w:rsidRPr="002245F9">
        <w:rPr>
          <w:rFonts w:cs="Arial"/>
          <w:spacing w:val="4"/>
        </w:rPr>
        <w:t xml:space="preserve">, </w:t>
      </w:r>
      <w:r>
        <w:rPr>
          <w:rFonts w:cs="Arial"/>
          <w:spacing w:val="4"/>
        </w:rPr>
        <w:t xml:space="preserve">w </w:t>
      </w:r>
      <w:r w:rsidRPr="002245F9">
        <w:rPr>
          <w:rFonts w:cs="Arial"/>
          <w:spacing w:val="4"/>
        </w:rPr>
        <w:t>których kwalifikowalność jest ustalana na podstawie kart czasu pracy, przy ustalaniu poziomu kwalifikowalności szkoleń należy brać pod uwagę średnią kwalifikowalność z ostatnich 12 miesięcy poprzedzających miesiąc poniesienia wydatku (należy uwzględniać czas przepracowany, nie uwzględnia się urlopu macierzyńskiego, rodzicielskiego, wychowawczego czy też długotrwałego zwolnienia lekarskiego</w:t>
      </w:r>
      <w:r w:rsidRPr="002245F9">
        <w:rPr>
          <w:rStyle w:val="Odwoanieprzypisudolnego"/>
          <w:spacing w:val="4"/>
        </w:rPr>
        <w:footnoteReference w:id="11"/>
      </w:r>
      <w:r w:rsidRPr="002245F9">
        <w:rPr>
          <w:rFonts w:cs="Arial"/>
          <w:spacing w:val="4"/>
        </w:rPr>
        <w:t>). Jeżeli od czasu zatrudnienia do poniesienia wydatku upłynęło mniej niż 12 miesięcy to należy wziąć pod uwagę ten krótszy okres.</w:t>
      </w:r>
    </w:p>
    <w:p w14:paraId="4E04E7CB" w14:textId="17FF105F" w:rsidR="00115B39" w:rsidRPr="002245F9" w:rsidRDefault="00115B39" w:rsidP="007C47BC">
      <w:pPr>
        <w:pStyle w:val="Default"/>
        <w:numPr>
          <w:ilvl w:val="0"/>
          <w:numId w:val="10"/>
        </w:numPr>
        <w:ind w:left="369" w:hanging="369"/>
        <w:rPr>
          <w:rFonts w:ascii="Arial" w:hAnsi="Arial" w:cs="Arial"/>
          <w:sz w:val="22"/>
          <w:szCs w:val="22"/>
        </w:rPr>
      </w:pPr>
      <w:r w:rsidRPr="002245F9">
        <w:rPr>
          <w:rFonts w:ascii="Arial" w:hAnsi="Arial" w:cs="Arial"/>
        </w:rPr>
        <w:t>W ramach podnoszenia kwalifikacji, z pomocy technicznej finansować można również opłaty wpisowe pod warunkiem podjęcia studiów lub innych form szkoleniowych, które takiej opłaty wymagają, a także koszty egzaminów, pod warunkiem uzyskania pozytywnej oceny.</w:t>
      </w:r>
    </w:p>
    <w:p w14:paraId="2D3D25A6" w14:textId="4D6B9BAF" w:rsidR="00115B39" w:rsidRPr="002245F9" w:rsidRDefault="00115B39" w:rsidP="007C47BC">
      <w:pPr>
        <w:pStyle w:val="Default"/>
        <w:numPr>
          <w:ilvl w:val="0"/>
          <w:numId w:val="10"/>
        </w:numPr>
        <w:ind w:left="369" w:hanging="369"/>
        <w:contextualSpacing/>
        <w:rPr>
          <w:rFonts w:ascii="Arial" w:hAnsi="Arial" w:cs="Arial"/>
        </w:rPr>
      </w:pPr>
      <w:r w:rsidRPr="002245F9">
        <w:rPr>
          <w:rFonts w:ascii="Arial" w:hAnsi="Arial" w:cs="Arial"/>
        </w:rPr>
        <w:t>W odniesieniu do szkoleń językowych, wydatkami kwalifikowalnymi są wydatki poniesione na naukę języków urzędowych UE, chyba że uzasadnione jest na danym stanowisku pracy finansowanie nauki innego języka.</w:t>
      </w:r>
    </w:p>
    <w:p w14:paraId="1DDA0F0C" w14:textId="1E08541D" w:rsidR="00115B39" w:rsidRPr="007C47BC" w:rsidRDefault="00115B39" w:rsidP="007C47BC">
      <w:pPr>
        <w:pStyle w:val="CM1"/>
        <w:numPr>
          <w:ilvl w:val="0"/>
          <w:numId w:val="10"/>
        </w:numPr>
        <w:tabs>
          <w:tab w:val="left" w:pos="357"/>
        </w:tabs>
        <w:ind w:left="369" w:hanging="369"/>
        <w:rPr>
          <w:rFonts w:cs="Arial"/>
          <w:spacing w:val="4"/>
        </w:rPr>
      </w:pPr>
      <w:r w:rsidRPr="007C47BC">
        <w:rPr>
          <w:rFonts w:cs="Arial"/>
          <w:spacing w:val="4"/>
        </w:rPr>
        <w:t xml:space="preserve">Studia z zakresu Master of Business Administration, a także koszty </w:t>
      </w:r>
      <w:r w:rsidRPr="007C47BC">
        <w:rPr>
          <w:rFonts w:ascii="Arial" w:hAnsi="Arial" w:cs="Arial"/>
          <w:spacing w:val="4"/>
        </w:rPr>
        <w:t>postępowania kwalifikacyjnego w służbie cywilnej wraz z kosztami kursu przygotowawczego stanowią wydatki niekwalifikowalne w ramach pomocy technicznej.</w:t>
      </w:r>
    </w:p>
    <w:p w14:paraId="51800C9C" w14:textId="10432CFD" w:rsidR="00115B39" w:rsidRPr="002A6ECA" w:rsidRDefault="00115B39" w:rsidP="007C47BC">
      <w:pPr>
        <w:pStyle w:val="Akapitzlist"/>
        <w:numPr>
          <w:ilvl w:val="0"/>
          <w:numId w:val="10"/>
        </w:numPr>
        <w:tabs>
          <w:tab w:val="left" w:pos="357"/>
        </w:tabs>
        <w:spacing w:before="120" w:after="120" w:line="360" w:lineRule="auto"/>
        <w:ind w:left="369" w:hanging="369"/>
        <w:contextualSpacing w:val="0"/>
        <w:rPr>
          <w:rFonts w:cs="Arial"/>
          <w:spacing w:val="4"/>
        </w:rPr>
      </w:pPr>
      <w:r w:rsidRPr="00C57D65">
        <w:rPr>
          <w:rFonts w:cs="Arial"/>
          <w:spacing w:val="4"/>
        </w:rPr>
        <w:t>W ramach wydatków szkoleniowych kwalifikowalne są również koszty diet, przejazdów oraz zakwaterowania uczestników szkoleń</w:t>
      </w:r>
      <w:r w:rsidRPr="001A694C">
        <w:rPr>
          <w:rFonts w:cs="Arial"/>
          <w:spacing w:val="4"/>
        </w:rPr>
        <w:t>.</w:t>
      </w:r>
    </w:p>
    <w:p w14:paraId="3870A0ED" w14:textId="523641DC" w:rsidR="00115B39" w:rsidRPr="007C47BC" w:rsidRDefault="00115B39" w:rsidP="007C47BC">
      <w:pPr>
        <w:pStyle w:val="CM1"/>
        <w:numPr>
          <w:ilvl w:val="0"/>
          <w:numId w:val="10"/>
        </w:numPr>
        <w:tabs>
          <w:tab w:val="left" w:pos="357"/>
        </w:tabs>
        <w:ind w:left="369" w:hanging="369"/>
        <w:rPr>
          <w:rFonts w:cs="Arial"/>
          <w:spacing w:val="4"/>
        </w:rPr>
      </w:pPr>
      <w:r w:rsidRPr="007C47BC">
        <w:rPr>
          <w:rFonts w:ascii="Arial" w:hAnsi="Arial" w:cs="Arial"/>
          <w:spacing w:val="4"/>
        </w:rPr>
        <w:t xml:space="preserve">W przypadku finansowania ze środków pomocy technicznej studiów podyplomowych oraz studiów I, II, III stopnia oraz studiów jednolitych, koszty </w:t>
      </w:r>
      <w:r w:rsidRPr="007C47BC">
        <w:rPr>
          <w:rFonts w:ascii="Arial" w:hAnsi="Arial" w:cs="Arial"/>
          <w:spacing w:val="4"/>
        </w:rPr>
        <w:lastRenderedPageBreak/>
        <w:t xml:space="preserve">diet, przejazdów oraz zakwaterowania stanowią wydatek kwalifikowalny wyłącznie w sytuacji, gdy możliwość finansowania tego typu wydatków wynika bezpośrednio z regulacji wewnętrznych jednostki organizacyjnej i obejmuje </w:t>
      </w:r>
      <w:r w:rsidRPr="007C47BC">
        <w:rPr>
          <w:rFonts w:ascii="Arial" w:hAnsi="Arial" w:cs="Arial"/>
        </w:rPr>
        <w:t>wszystkich pracowników na takich samych zasadach</w:t>
      </w:r>
      <w:r w:rsidRPr="007C47BC">
        <w:rPr>
          <w:rFonts w:ascii="Arial" w:hAnsi="Arial" w:cs="Arial"/>
          <w:spacing w:val="4"/>
        </w:rPr>
        <w:t>.</w:t>
      </w:r>
    </w:p>
    <w:p w14:paraId="53DA7F49" w14:textId="2EC9EDB7" w:rsidR="00115B39" w:rsidRPr="007C47BC" w:rsidRDefault="00115B39" w:rsidP="007C47BC">
      <w:pPr>
        <w:pStyle w:val="CM1"/>
        <w:numPr>
          <w:ilvl w:val="0"/>
          <w:numId w:val="10"/>
        </w:numPr>
        <w:tabs>
          <w:tab w:val="left" w:pos="357"/>
        </w:tabs>
        <w:ind w:left="369" w:hanging="369"/>
        <w:rPr>
          <w:rFonts w:cs="Arial"/>
          <w:spacing w:val="4"/>
        </w:rPr>
      </w:pPr>
      <w:r w:rsidRPr="007C47BC">
        <w:rPr>
          <w:rFonts w:ascii="Arial" w:hAnsi="Arial" w:cs="Arial"/>
          <w:spacing w:val="4"/>
        </w:rPr>
        <w:t>Kwalifikowalność wydatków szkoleniowych powinna zostać potwierdzona odpowiednim dokumentem, z którego wynika udział lub ukończenie szkolenia (nie dotyczy wizyt studyjnych). W przypadku, gdy dokument, o którym mowa powyżej jest wydawany po zakończeniu realizacji projektu, w ramach którego szkolenie zostało sfinansowane, beneficjent powinien niezwłocznie uzupełnić dokumentację projektu.</w:t>
      </w:r>
    </w:p>
    <w:p w14:paraId="0051EF89" w14:textId="2E7563CB" w:rsidR="00115B39" w:rsidRPr="007C47BC" w:rsidRDefault="00115B39" w:rsidP="007C47BC">
      <w:pPr>
        <w:pStyle w:val="CM1"/>
        <w:numPr>
          <w:ilvl w:val="0"/>
          <w:numId w:val="10"/>
        </w:numPr>
        <w:tabs>
          <w:tab w:val="left" w:pos="357"/>
        </w:tabs>
        <w:ind w:left="369" w:hanging="369"/>
        <w:rPr>
          <w:rFonts w:cs="Arial"/>
          <w:spacing w:val="4"/>
        </w:rPr>
      </w:pPr>
      <w:r w:rsidRPr="007C47BC">
        <w:rPr>
          <w:rFonts w:ascii="Arial" w:hAnsi="Arial" w:cs="Arial"/>
          <w:spacing w:val="4"/>
        </w:rPr>
        <w:t>Zakup materiałów szkoleniowych (np. podręczników) jest kwalifikowalny w przypadku, gdy szkolenie jest organizowane przez beneficjenta i materiały te są niezbędne do przeprowadzenia szkolenia.</w:t>
      </w:r>
    </w:p>
    <w:p w14:paraId="625F1057" w14:textId="2E4F9DA5" w:rsidR="00115B39" w:rsidRPr="007C47BC" w:rsidRDefault="00115B39" w:rsidP="007C47BC">
      <w:pPr>
        <w:pStyle w:val="CM1"/>
        <w:numPr>
          <w:ilvl w:val="0"/>
          <w:numId w:val="10"/>
        </w:numPr>
        <w:tabs>
          <w:tab w:val="left" w:pos="357"/>
        </w:tabs>
        <w:ind w:left="369" w:hanging="369"/>
        <w:rPr>
          <w:rFonts w:cs="Arial"/>
          <w:spacing w:val="4"/>
        </w:rPr>
      </w:pPr>
      <w:r w:rsidRPr="007C47BC">
        <w:rPr>
          <w:rFonts w:ascii="Arial" w:hAnsi="Arial" w:cs="Arial"/>
          <w:spacing w:val="4"/>
        </w:rPr>
        <w:t xml:space="preserve">Zakup materiałów szkoleniowych jest niekwalifikowalny w przypadku, gdy pracownik uczestniczy </w:t>
      </w:r>
      <w:r w:rsidRPr="007C47BC">
        <w:rPr>
          <w:rFonts w:cs="Arial"/>
          <w:spacing w:val="4"/>
        </w:rPr>
        <w:t xml:space="preserve">w indywidualnych formach kształcenia (np. kursy językowe, studia podyplomowe) i na własne potrzeby planuje zakupić materiały szkoleniowe. </w:t>
      </w:r>
    </w:p>
    <w:p w14:paraId="7402D4F0" w14:textId="77777777" w:rsidR="00115B39" w:rsidRPr="00093D92" w:rsidRDefault="00115B39" w:rsidP="00C57D65">
      <w:pPr>
        <w:pStyle w:val="Nagwek3"/>
      </w:pPr>
      <w:bookmarkStart w:id="272" w:name="_Toc109128030"/>
      <w:bookmarkStart w:id="273" w:name="_Toc110601984"/>
      <w:bookmarkStart w:id="274" w:name="_Toc88553314"/>
      <w:bookmarkStart w:id="275" w:name="_Toc95118935"/>
      <w:r w:rsidRPr="00093D92">
        <w:t>Sekcja 9.2.2 Wsparcie funkcjonowania instytucji</w:t>
      </w:r>
      <w:bookmarkEnd w:id="272"/>
      <w:bookmarkEnd w:id="273"/>
      <w:r w:rsidRPr="00093D92">
        <w:t xml:space="preserve"> </w:t>
      </w:r>
      <w:bookmarkEnd w:id="274"/>
      <w:bookmarkEnd w:id="275"/>
    </w:p>
    <w:p w14:paraId="2BAFE2AA" w14:textId="77777777" w:rsidR="00115B39" w:rsidRPr="002245F9" w:rsidRDefault="00115B39" w:rsidP="00115B39">
      <w:pPr>
        <w:pStyle w:val="Akapitzlist"/>
        <w:numPr>
          <w:ilvl w:val="0"/>
          <w:numId w:val="11"/>
        </w:numPr>
        <w:tabs>
          <w:tab w:val="left" w:pos="9000"/>
        </w:tabs>
        <w:autoSpaceDE w:val="0"/>
        <w:autoSpaceDN w:val="0"/>
        <w:adjustRightInd w:val="0"/>
        <w:spacing w:before="120" w:after="120" w:line="360" w:lineRule="auto"/>
        <w:ind w:left="357" w:hanging="357"/>
        <w:contextualSpacing w:val="0"/>
        <w:rPr>
          <w:rFonts w:cs="Arial"/>
        </w:rPr>
      </w:pPr>
      <w:r w:rsidRPr="002245F9">
        <w:rPr>
          <w:rFonts w:cs="Arial"/>
        </w:rPr>
        <w:t>Poziom kwalifikowalności wydatków niezbędnych do sprawnego funkcjonowania instytucji, których nie można jednostkowo przypisać do stanowiska pracy (np. czynsz, opłaty eksploatacyjne, komunalne, remonty, abonamenty, infrastruktura teleinformatyczna, usługi pocztowe) wynika ze średniego poziomu kwalifikowalności stanowisk pracy instytucji, obliczanego jako stosunek liczby etatów kwalifikowalnych do liczby wszystkich etatów w danej jednostce organizacyjnej (np. urzędzie, agencji, departamencie) lub w danej lokalizacji (budynku). Średni poziom kwalifikowalności dla roku N+1 powinien być ustalony na podstawie średniej kwalifikowalności pracowników osiągniętej w roku N.</w:t>
      </w:r>
      <w:r>
        <w:rPr>
          <w:rStyle w:val="Odwoanieprzypisudolnego"/>
        </w:rPr>
        <w:footnoteReference w:id="12"/>
      </w:r>
    </w:p>
    <w:p w14:paraId="159767C1" w14:textId="77777777" w:rsidR="00115B39" w:rsidRPr="002245F9" w:rsidRDefault="00115B39" w:rsidP="00115B39">
      <w:pPr>
        <w:pStyle w:val="Akapitzlist"/>
        <w:numPr>
          <w:ilvl w:val="0"/>
          <w:numId w:val="11"/>
        </w:numPr>
        <w:tabs>
          <w:tab w:val="left" w:pos="9000"/>
        </w:tabs>
        <w:autoSpaceDE w:val="0"/>
        <w:autoSpaceDN w:val="0"/>
        <w:adjustRightInd w:val="0"/>
        <w:spacing w:before="120" w:after="120" w:line="360" w:lineRule="auto"/>
        <w:ind w:left="357" w:hanging="357"/>
        <w:contextualSpacing w:val="0"/>
        <w:rPr>
          <w:rFonts w:cs="Arial"/>
        </w:rPr>
      </w:pPr>
      <w:r w:rsidRPr="003B6D74">
        <w:rPr>
          <w:rFonts w:cs="Arial"/>
        </w:rPr>
        <w:lastRenderedPageBreak/>
        <w:t>Metodyka kwalifikowalności</w:t>
      </w:r>
      <w:r w:rsidRPr="002245F9">
        <w:rPr>
          <w:rFonts w:cs="Arial"/>
        </w:rPr>
        <w:t xml:space="preserve"> wydatków podlega każdorazowo indywidualnej ocenie właściwej instytucji na etapie wyboru projektu. W przypadku gdy metod</w:t>
      </w:r>
      <w:r>
        <w:rPr>
          <w:rFonts w:cs="Arial"/>
        </w:rPr>
        <w:t>yk</w:t>
      </w:r>
      <w:r w:rsidRPr="002245F9">
        <w:rPr>
          <w:rFonts w:cs="Arial"/>
        </w:rPr>
        <w:t>a rozliczania wydatków dotyczy instytucji finansowanej w ramach więcej niż jednego programu, metod</w:t>
      </w:r>
      <w:r>
        <w:rPr>
          <w:rFonts w:cs="Arial"/>
        </w:rPr>
        <w:t>yk</w:t>
      </w:r>
      <w:r w:rsidRPr="002245F9">
        <w:rPr>
          <w:rFonts w:cs="Arial"/>
        </w:rPr>
        <w:t xml:space="preserve">a uzgadniana jest przez wszystkie właściwe instytucje. </w:t>
      </w:r>
    </w:p>
    <w:p w14:paraId="6C742257" w14:textId="77777777" w:rsidR="00115B39" w:rsidRPr="002245F9" w:rsidRDefault="00115B39" w:rsidP="00115B39">
      <w:pPr>
        <w:pStyle w:val="Akapitzlist"/>
        <w:numPr>
          <w:ilvl w:val="0"/>
          <w:numId w:val="11"/>
        </w:numPr>
        <w:tabs>
          <w:tab w:val="left" w:pos="9000"/>
        </w:tabs>
        <w:autoSpaceDE w:val="0"/>
        <w:autoSpaceDN w:val="0"/>
        <w:adjustRightInd w:val="0"/>
        <w:spacing w:before="120" w:after="120" w:line="360" w:lineRule="auto"/>
        <w:ind w:left="357" w:hanging="357"/>
        <w:contextualSpacing w:val="0"/>
        <w:rPr>
          <w:rFonts w:cs="Arial"/>
          <w:b/>
        </w:rPr>
      </w:pPr>
      <w:r w:rsidRPr="002245F9">
        <w:rPr>
          <w:rFonts w:cs="Arial"/>
        </w:rPr>
        <w:t>W przypadku, gdy beneficjent otrzymuje wsparcie w ramach dwóch lub więcej programów koszty na poszczególne programy powinny być wyliczone proporcjonalnie. Zasady rozliczania pomiędzy programami ustalają właściwe IZ.</w:t>
      </w:r>
    </w:p>
    <w:p w14:paraId="3E564B88" w14:textId="77777777" w:rsidR="00115B39" w:rsidRPr="002E4C31" w:rsidRDefault="00115B39" w:rsidP="00C57D65">
      <w:pPr>
        <w:pStyle w:val="Nagwek3"/>
      </w:pPr>
      <w:bookmarkStart w:id="276" w:name="_Toc88553315"/>
      <w:bookmarkStart w:id="277" w:name="_Toc95118936"/>
      <w:bookmarkStart w:id="278" w:name="_Toc109128031"/>
      <w:bookmarkStart w:id="279" w:name="_Toc110601985"/>
      <w:r w:rsidRPr="002E4C31">
        <w:t>Sekcja 9.2.2.1 Adaptacja, remont, modernizacja oraz utrzymanie powierzchni</w:t>
      </w:r>
      <w:bookmarkEnd w:id="276"/>
      <w:bookmarkEnd w:id="277"/>
      <w:bookmarkEnd w:id="278"/>
      <w:bookmarkEnd w:id="279"/>
    </w:p>
    <w:p w14:paraId="0F9C77DA" w14:textId="77777777" w:rsidR="00115B39" w:rsidRPr="002245F9" w:rsidRDefault="00115B39" w:rsidP="00115B39">
      <w:pPr>
        <w:pStyle w:val="Default"/>
        <w:numPr>
          <w:ilvl w:val="0"/>
          <w:numId w:val="19"/>
        </w:numPr>
        <w:ind w:left="357" w:hanging="357"/>
        <w:rPr>
          <w:rFonts w:ascii="Arial" w:hAnsi="Arial" w:cs="Arial"/>
        </w:rPr>
      </w:pPr>
      <w:bookmarkStart w:id="280" w:name="_Toc382825312"/>
      <w:bookmarkStart w:id="281" w:name="_Toc382825543"/>
      <w:bookmarkEnd w:id="280"/>
      <w:bookmarkEnd w:id="281"/>
      <w:r w:rsidRPr="002245F9">
        <w:rPr>
          <w:rFonts w:ascii="Arial" w:hAnsi="Arial" w:cs="Arial"/>
        </w:rPr>
        <w:t xml:space="preserve">Wydatki kwalifikowalne powinny dotyczyć prac, które służą utrzymaniu stanu pomieszczeń w standardzie umożliwiającym efektywne wykonywanie zadań. </w:t>
      </w:r>
    </w:p>
    <w:p w14:paraId="00AE98B4" w14:textId="77777777" w:rsidR="00115B39" w:rsidRPr="002245F9" w:rsidRDefault="00115B39" w:rsidP="00115B39">
      <w:pPr>
        <w:pStyle w:val="Default"/>
        <w:numPr>
          <w:ilvl w:val="0"/>
          <w:numId w:val="19"/>
        </w:numPr>
        <w:ind w:left="357" w:hanging="357"/>
        <w:rPr>
          <w:rFonts w:ascii="Arial" w:hAnsi="Arial" w:cs="Arial"/>
        </w:rPr>
      </w:pPr>
      <w:r w:rsidRPr="002245F9">
        <w:rPr>
          <w:rFonts w:ascii="Arial" w:hAnsi="Arial" w:cs="Arial"/>
        </w:rPr>
        <w:t>Sfinansowanie kosztów remontu, adaptacji lub modernizacji wymaga zapewnienia wykorzystywania wyremontowanych pomieszczeń przez cały okres pełnienia funkcji w systemie realizacji polityki spójności. Uzasadniona zmiana wyremontowanej siedziby może nastąpić przy zastrzeżeniu, że nie będzie już przysługiwało finansowanie z pomocy technicznej kosztów remontu w nowej siedzibie.</w:t>
      </w:r>
    </w:p>
    <w:p w14:paraId="4524CED6" w14:textId="77777777" w:rsidR="00115B39" w:rsidRPr="002245F9" w:rsidRDefault="00115B39" w:rsidP="00115B39">
      <w:pPr>
        <w:pStyle w:val="Default"/>
        <w:numPr>
          <w:ilvl w:val="0"/>
          <w:numId w:val="19"/>
        </w:numPr>
        <w:ind w:left="357" w:hanging="357"/>
        <w:rPr>
          <w:rFonts w:ascii="Arial" w:hAnsi="Arial" w:cs="Arial"/>
        </w:rPr>
      </w:pPr>
      <w:r w:rsidRPr="002245F9">
        <w:rPr>
          <w:rFonts w:ascii="Arial" w:hAnsi="Arial" w:cs="Arial"/>
        </w:rPr>
        <w:t>Niekwalifikowalne w ramach pomocy technicznej są koszty związane z remontem lub modernizacją powierzchni, która nie jest bezpośrednio wykorzystywana w trakcie realizacji zadań kwalifikowalnych, np. parking, elewacja budynku, tereny zielone.</w:t>
      </w:r>
    </w:p>
    <w:p w14:paraId="301FD058" w14:textId="77777777" w:rsidR="00115B39" w:rsidRPr="00F627A2" w:rsidRDefault="00115B39" w:rsidP="00C57D65">
      <w:pPr>
        <w:pStyle w:val="Nagwek3"/>
      </w:pPr>
      <w:bookmarkStart w:id="282" w:name="_Toc88553316"/>
      <w:bookmarkStart w:id="283" w:name="_Toc95118937"/>
      <w:bookmarkStart w:id="284" w:name="_Toc109128032"/>
      <w:bookmarkStart w:id="285" w:name="_Toc110601986"/>
      <w:r w:rsidRPr="00F627A2">
        <w:t>Sekcja 9.2.2.2 Środki transportu</w:t>
      </w:r>
      <w:bookmarkEnd w:id="282"/>
      <w:bookmarkEnd w:id="283"/>
      <w:bookmarkEnd w:id="284"/>
      <w:bookmarkEnd w:id="285"/>
    </w:p>
    <w:p w14:paraId="4F8894C9" w14:textId="77777777" w:rsidR="00115B39" w:rsidRPr="002245F9" w:rsidRDefault="00115B39" w:rsidP="00115B39">
      <w:pPr>
        <w:pStyle w:val="Default"/>
        <w:numPr>
          <w:ilvl w:val="0"/>
          <w:numId w:val="12"/>
        </w:numPr>
        <w:ind w:left="357" w:hanging="357"/>
        <w:rPr>
          <w:rFonts w:ascii="Arial" w:hAnsi="Arial" w:cs="Arial"/>
        </w:rPr>
      </w:pPr>
      <w:r w:rsidRPr="002245F9">
        <w:rPr>
          <w:rFonts w:ascii="Arial" w:hAnsi="Arial" w:cs="Arial"/>
        </w:rPr>
        <w:t xml:space="preserve">Zakup środków transportu jest niekwalifikowalny ze środków pomocy technicznej. </w:t>
      </w:r>
    </w:p>
    <w:p w14:paraId="45C0D489" w14:textId="77777777" w:rsidR="00115B39" w:rsidRPr="002245F9" w:rsidRDefault="00115B39" w:rsidP="00115B39">
      <w:pPr>
        <w:pStyle w:val="Default"/>
        <w:numPr>
          <w:ilvl w:val="0"/>
          <w:numId w:val="12"/>
        </w:numPr>
        <w:ind w:left="357" w:hanging="357"/>
        <w:contextualSpacing/>
        <w:rPr>
          <w:rFonts w:ascii="Arial" w:hAnsi="Arial" w:cs="Arial"/>
        </w:rPr>
      </w:pPr>
      <w:r w:rsidRPr="002245F9">
        <w:rPr>
          <w:rFonts w:ascii="Arial" w:hAnsi="Arial" w:cs="Arial"/>
        </w:rPr>
        <w:t xml:space="preserve">Jeżeli do wykonywania zadań związanych z realizacją funduszy polityki spójności niezbędne jest korzystanie ze środków transportu (np. samochody na potrzeby kontroli projektów w terenie), to za kwalifikowalne, pod warunkiem uzyskania uprzedniej zgody </w:t>
      </w:r>
      <w:r w:rsidRPr="005F4459">
        <w:rPr>
          <w:rFonts w:ascii="Arial" w:hAnsi="Arial" w:cs="Arial"/>
        </w:rPr>
        <w:t>właściwej IZ,</w:t>
      </w:r>
      <w:r w:rsidRPr="002245F9">
        <w:rPr>
          <w:rFonts w:ascii="Arial" w:hAnsi="Arial" w:cs="Arial"/>
        </w:rPr>
        <w:t xml:space="preserve"> można uznać wydatki wynikające z formy finansowania, która nie powoduje przeniesienia własności środka transportu na beneficjenta, np.:</w:t>
      </w:r>
    </w:p>
    <w:p w14:paraId="11A66CBB" w14:textId="77777777" w:rsidR="00115B39" w:rsidRPr="002245F9" w:rsidRDefault="00115B39" w:rsidP="00115B39">
      <w:pPr>
        <w:pStyle w:val="Default"/>
        <w:numPr>
          <w:ilvl w:val="0"/>
          <w:numId w:val="5"/>
        </w:numPr>
        <w:ind w:left="714" w:hanging="357"/>
        <w:contextualSpacing/>
        <w:rPr>
          <w:rFonts w:ascii="Arial" w:hAnsi="Arial" w:cs="Arial"/>
        </w:rPr>
      </w:pPr>
      <w:r w:rsidRPr="002245F9">
        <w:rPr>
          <w:rFonts w:ascii="Arial" w:hAnsi="Arial" w:cs="Arial"/>
        </w:rPr>
        <w:t xml:space="preserve">leasing (umowa powinna zawierać klauzulę </w:t>
      </w:r>
      <w:r w:rsidRPr="00EA6705">
        <w:rPr>
          <w:rFonts w:ascii="Arial" w:hAnsi="Arial" w:cs="Arial"/>
          <w:iCs/>
        </w:rPr>
        <w:t>bez możliwości wykupu</w:t>
      </w:r>
      <w:r w:rsidRPr="002245F9">
        <w:rPr>
          <w:rFonts w:ascii="Arial" w:hAnsi="Arial" w:cs="Arial"/>
        </w:rPr>
        <w:t xml:space="preserve">), </w:t>
      </w:r>
    </w:p>
    <w:p w14:paraId="38A5F70F" w14:textId="77777777" w:rsidR="00115B39" w:rsidRPr="00EA6705" w:rsidRDefault="00115B39" w:rsidP="00115B39">
      <w:pPr>
        <w:pStyle w:val="Default"/>
        <w:numPr>
          <w:ilvl w:val="0"/>
          <w:numId w:val="5"/>
        </w:numPr>
        <w:ind w:left="714" w:hanging="357"/>
        <w:contextualSpacing/>
        <w:rPr>
          <w:rFonts w:ascii="Arial" w:hAnsi="Arial" w:cs="Arial"/>
        </w:rPr>
      </w:pPr>
      <w:r w:rsidRPr="00EA6705">
        <w:rPr>
          <w:rFonts w:ascii="Arial" w:hAnsi="Arial" w:cs="Arial"/>
        </w:rPr>
        <w:lastRenderedPageBreak/>
        <w:t>wynajem inny niż krótkoterminowy</w:t>
      </w:r>
      <w:r w:rsidRPr="00EA6705">
        <w:rPr>
          <w:rStyle w:val="Odwoanieprzypisudolnego"/>
          <w:rFonts w:ascii="Arial" w:hAnsi="Arial" w:cs="Arial"/>
        </w:rPr>
        <w:footnoteReference w:id="13"/>
      </w:r>
      <w:r w:rsidRPr="00EA6705">
        <w:rPr>
          <w:rFonts w:ascii="Arial" w:hAnsi="Arial" w:cs="Arial"/>
        </w:rPr>
        <w:t>.</w:t>
      </w:r>
    </w:p>
    <w:p w14:paraId="5203CBF8" w14:textId="77777777" w:rsidR="00115B39" w:rsidRPr="002245F9" w:rsidRDefault="00115B39" w:rsidP="00115B39">
      <w:pPr>
        <w:pStyle w:val="Default"/>
        <w:numPr>
          <w:ilvl w:val="0"/>
          <w:numId w:val="12"/>
        </w:numPr>
        <w:ind w:left="357" w:hanging="357"/>
        <w:rPr>
          <w:rFonts w:ascii="Arial" w:hAnsi="Arial" w:cs="Arial"/>
        </w:rPr>
      </w:pPr>
      <w:r w:rsidRPr="002245F9">
        <w:rPr>
          <w:rFonts w:ascii="Arial" w:eastAsia="TTE278EC88t00" w:hAnsi="Arial" w:cs="Arial"/>
        </w:rPr>
        <w:t xml:space="preserve">W przypadku zastosowania w ramach projektu finansowania w drodze leasingu, wydatkiem kwalifikującym się do </w:t>
      </w:r>
      <w:r>
        <w:rPr>
          <w:rFonts w:ascii="Arial" w:eastAsia="TTE278EC88t00" w:hAnsi="Arial" w:cs="Arial"/>
        </w:rPr>
        <w:t>dofinansowania</w:t>
      </w:r>
      <w:r w:rsidRPr="002245F9">
        <w:rPr>
          <w:rFonts w:ascii="Arial" w:eastAsia="TTE278EC88t00" w:hAnsi="Arial" w:cs="Arial"/>
        </w:rPr>
        <w:t xml:space="preserve"> jest część raty leasingowej związanej ze spłatą kapitału przedmiotu umowy leasingu przez beneficjenta</w:t>
      </w:r>
      <w:r w:rsidRPr="002245F9">
        <w:rPr>
          <w:rFonts w:ascii="Arial" w:hAnsi="Arial" w:cs="Arial"/>
        </w:rPr>
        <w:t>.</w:t>
      </w:r>
    </w:p>
    <w:p w14:paraId="76B4DAE8" w14:textId="77777777" w:rsidR="00115B39" w:rsidRPr="002245F9" w:rsidRDefault="00115B39" w:rsidP="00115B39">
      <w:pPr>
        <w:pStyle w:val="Default"/>
        <w:numPr>
          <w:ilvl w:val="0"/>
          <w:numId w:val="12"/>
        </w:numPr>
        <w:ind w:left="357" w:hanging="357"/>
        <w:rPr>
          <w:rFonts w:ascii="Arial" w:hAnsi="Arial" w:cs="Arial"/>
        </w:rPr>
      </w:pPr>
      <w:r w:rsidRPr="002245F9">
        <w:rPr>
          <w:rFonts w:ascii="Arial" w:hAnsi="Arial" w:cs="Arial"/>
        </w:rPr>
        <w:t>Kwalifikowalne mogą być koszty związane z użytkowaniem środków transportu.</w:t>
      </w:r>
    </w:p>
    <w:p w14:paraId="133EF31D" w14:textId="77777777" w:rsidR="00115B39" w:rsidRPr="002245F9" w:rsidRDefault="00115B39" w:rsidP="00115B39">
      <w:pPr>
        <w:pStyle w:val="Default"/>
        <w:numPr>
          <w:ilvl w:val="0"/>
          <w:numId w:val="12"/>
        </w:numPr>
        <w:ind w:left="357" w:hanging="357"/>
        <w:rPr>
          <w:rFonts w:ascii="Arial" w:hAnsi="Arial" w:cs="Arial"/>
        </w:rPr>
      </w:pPr>
      <w:r w:rsidRPr="002245F9">
        <w:rPr>
          <w:rFonts w:ascii="Arial" w:hAnsi="Arial" w:cs="Arial"/>
        </w:rPr>
        <w:t>Wyliczenia poziomu kwalifikowalności wydatków, związanych z użytkowaniem środka transportu, należy dokonać proporcjonalnie do jego wykorzystania w</w:t>
      </w:r>
      <w:r>
        <w:rPr>
          <w:rFonts w:ascii="Arial" w:hAnsi="Arial" w:cs="Arial"/>
        </w:rPr>
        <w:t> </w:t>
      </w:r>
      <w:r w:rsidRPr="002245F9">
        <w:rPr>
          <w:rFonts w:ascii="Arial" w:hAnsi="Arial" w:cs="Arial"/>
        </w:rPr>
        <w:t>zakresie realizacji zadań związanych z realizacją funduszy polityki spójności.</w:t>
      </w:r>
    </w:p>
    <w:p w14:paraId="71016AB0" w14:textId="77777777" w:rsidR="00115B39" w:rsidRPr="004B494A" w:rsidRDefault="00115B39" w:rsidP="00C57D65">
      <w:pPr>
        <w:pStyle w:val="Nagwek3"/>
      </w:pPr>
      <w:bookmarkStart w:id="286" w:name="_Toc88553317"/>
      <w:bookmarkStart w:id="287" w:name="_Toc95118938"/>
      <w:bookmarkStart w:id="288" w:name="_Toc109128033"/>
      <w:bookmarkStart w:id="289" w:name="_Toc110601987"/>
      <w:r w:rsidRPr="004B494A">
        <w:t>Sekcja 9.2.2.3 Wyposażenie stanowiska pracy</w:t>
      </w:r>
      <w:r w:rsidRPr="004B494A">
        <w:rPr>
          <w:rStyle w:val="Odwoanieprzypisudolnego"/>
          <w:rFonts w:cs="Arial"/>
          <w:iCs/>
        </w:rPr>
        <w:footnoteReference w:id="14"/>
      </w:r>
      <w:bookmarkEnd w:id="286"/>
      <w:bookmarkEnd w:id="287"/>
      <w:bookmarkEnd w:id="288"/>
      <w:bookmarkEnd w:id="289"/>
    </w:p>
    <w:p w14:paraId="5E66C2E5" w14:textId="77777777" w:rsidR="00115B39" w:rsidRPr="002D3067" w:rsidRDefault="00115B39" w:rsidP="00115B39">
      <w:pPr>
        <w:pStyle w:val="Default"/>
        <w:numPr>
          <w:ilvl w:val="0"/>
          <w:numId w:val="13"/>
        </w:numPr>
        <w:ind w:left="357" w:hanging="357"/>
        <w:rPr>
          <w:rFonts w:ascii="Arial" w:hAnsi="Arial" w:cs="Arial"/>
        </w:rPr>
      </w:pPr>
      <w:r w:rsidRPr="002245F9">
        <w:rPr>
          <w:rFonts w:ascii="Arial" w:hAnsi="Arial" w:cs="Arial"/>
        </w:rPr>
        <w:t xml:space="preserve">Wydatki związane z zakupem, naprawą, eksploatacją sprzętu, oprogramowania i wyposażenia, które można bezpośrednio powiązać </w:t>
      </w:r>
      <w:r w:rsidRPr="002D3067">
        <w:rPr>
          <w:rFonts w:ascii="Arial" w:hAnsi="Arial" w:cs="Arial"/>
        </w:rPr>
        <w:t xml:space="preserve">ze </w:t>
      </w:r>
      <w:r>
        <w:rPr>
          <w:rFonts w:ascii="Arial" w:hAnsi="Arial" w:cs="Arial"/>
        </w:rPr>
        <w:t>stanowiskiem pracy</w:t>
      </w:r>
      <w:r w:rsidRPr="002D3067">
        <w:rPr>
          <w:rFonts w:ascii="Arial" w:hAnsi="Arial" w:cs="Arial"/>
        </w:rPr>
        <w:t xml:space="preserve"> są kwalifikowalne i mogą być w całości finansowane ze środków pomocy technicznej w przypadku</w:t>
      </w:r>
      <w:r>
        <w:rPr>
          <w:rFonts w:ascii="Arial" w:hAnsi="Arial" w:cs="Arial"/>
        </w:rPr>
        <w:t xml:space="preserve"> kwalifikowalności stanowiska w co najmniej 50%</w:t>
      </w:r>
      <w:r w:rsidRPr="002D3067">
        <w:rPr>
          <w:rFonts w:ascii="Arial" w:hAnsi="Arial" w:cs="Arial"/>
        </w:rPr>
        <w:t xml:space="preserve"> (zgodnie z opisami stanowisk pracy/kartami czasu pracy)</w:t>
      </w:r>
      <w:r>
        <w:rPr>
          <w:rFonts w:ascii="Arial" w:hAnsi="Arial" w:cs="Arial"/>
        </w:rPr>
        <w:t>.</w:t>
      </w:r>
      <w:r w:rsidRPr="002D3067">
        <w:rPr>
          <w:rFonts w:ascii="Arial" w:hAnsi="Arial" w:cs="Arial"/>
        </w:rPr>
        <w:t xml:space="preserve"> </w:t>
      </w:r>
    </w:p>
    <w:p w14:paraId="274FA6D5" w14:textId="77777777" w:rsidR="00115B39" w:rsidRPr="002D3067" w:rsidRDefault="00115B39" w:rsidP="00115B39">
      <w:pPr>
        <w:pStyle w:val="Default"/>
        <w:numPr>
          <w:ilvl w:val="0"/>
          <w:numId w:val="13"/>
        </w:numPr>
        <w:ind w:left="357" w:hanging="357"/>
        <w:rPr>
          <w:rFonts w:ascii="Arial" w:hAnsi="Arial" w:cs="Arial"/>
        </w:rPr>
      </w:pPr>
      <w:r w:rsidRPr="002D3067">
        <w:rPr>
          <w:rFonts w:ascii="Arial" w:hAnsi="Arial" w:cs="Arial"/>
        </w:rPr>
        <w:t>Powyższa możliwość dotyczy sprzętu oraz podstawowego wyposażenia stanowiska pracy (komputer, drukarka, telefon, biurko, krzesło itp.). Materiały eksploatacyjne i biurowe (np. papier, tonery, koszulki itp.) należy rozliczać zgodnie z pkt 7.</w:t>
      </w:r>
      <w:r w:rsidRPr="002D3067" w:rsidDel="00704194">
        <w:rPr>
          <w:rFonts w:ascii="Arial" w:hAnsi="Arial" w:cs="Arial"/>
        </w:rPr>
        <w:t xml:space="preserve"> </w:t>
      </w:r>
    </w:p>
    <w:p w14:paraId="35BFF27A" w14:textId="77777777" w:rsidR="00115B39" w:rsidRPr="002D3067" w:rsidRDefault="00115B39" w:rsidP="00115B39">
      <w:pPr>
        <w:pStyle w:val="Default"/>
        <w:numPr>
          <w:ilvl w:val="0"/>
          <w:numId w:val="13"/>
        </w:numPr>
        <w:ind w:left="357" w:hanging="357"/>
        <w:rPr>
          <w:rFonts w:ascii="Arial" w:hAnsi="Arial" w:cs="Arial"/>
        </w:rPr>
      </w:pPr>
      <w:r w:rsidRPr="002D3067">
        <w:rPr>
          <w:rFonts w:ascii="Arial" w:hAnsi="Arial" w:cs="Arial"/>
        </w:rPr>
        <w:t xml:space="preserve">Wydatki na sprzęt i wyposażenie </w:t>
      </w:r>
      <w:r>
        <w:rPr>
          <w:rFonts w:ascii="Arial" w:hAnsi="Arial" w:cs="Arial"/>
        </w:rPr>
        <w:t xml:space="preserve">stanowisk obejmujących </w:t>
      </w:r>
      <w:r w:rsidRPr="002D3067">
        <w:rPr>
          <w:rFonts w:ascii="Arial" w:hAnsi="Arial" w:cs="Arial"/>
        </w:rPr>
        <w:t>zadania kwalifikowalne w mniejszym zakresie niż 50%, są kwalifikowalne proporcjonalnie do zaangażowania.</w:t>
      </w:r>
    </w:p>
    <w:p w14:paraId="1FC5F589" w14:textId="77777777" w:rsidR="00115B39" w:rsidRPr="002245F9" w:rsidRDefault="00115B39" w:rsidP="00115B39">
      <w:pPr>
        <w:pStyle w:val="Default"/>
        <w:numPr>
          <w:ilvl w:val="0"/>
          <w:numId w:val="13"/>
        </w:numPr>
        <w:ind w:left="357" w:hanging="357"/>
        <w:rPr>
          <w:rFonts w:ascii="Arial" w:hAnsi="Arial" w:cs="Arial"/>
        </w:rPr>
      </w:pPr>
      <w:r w:rsidRPr="002D3067">
        <w:rPr>
          <w:rFonts w:ascii="Arial" w:hAnsi="Arial" w:cs="Arial"/>
        </w:rPr>
        <w:t>W przypadku, gdy dan</w:t>
      </w:r>
      <w:r>
        <w:rPr>
          <w:rFonts w:ascii="Arial" w:hAnsi="Arial" w:cs="Arial"/>
        </w:rPr>
        <w:t>e</w:t>
      </w:r>
      <w:r w:rsidRPr="002D3067">
        <w:rPr>
          <w:rFonts w:ascii="Arial" w:hAnsi="Arial" w:cs="Arial"/>
        </w:rPr>
        <w:t xml:space="preserve"> </w:t>
      </w:r>
      <w:r>
        <w:rPr>
          <w:rFonts w:ascii="Arial" w:hAnsi="Arial" w:cs="Arial"/>
        </w:rPr>
        <w:t xml:space="preserve">stanowisko obejmuje </w:t>
      </w:r>
      <w:r w:rsidRPr="002D3067">
        <w:rPr>
          <w:rFonts w:ascii="Arial" w:hAnsi="Arial" w:cs="Arial"/>
        </w:rPr>
        <w:t>zaangażowan</w:t>
      </w:r>
      <w:r>
        <w:rPr>
          <w:rFonts w:ascii="Arial" w:hAnsi="Arial" w:cs="Arial"/>
        </w:rPr>
        <w:t>ie</w:t>
      </w:r>
      <w:r w:rsidRPr="002245F9">
        <w:rPr>
          <w:rFonts w:ascii="Arial" w:hAnsi="Arial" w:cs="Arial"/>
        </w:rPr>
        <w:t xml:space="preserve"> we wdrażanie więcej niż jednego programu, koszty rozliczane są proporcjonalnie do zaangażowania w dany program.</w:t>
      </w:r>
    </w:p>
    <w:p w14:paraId="086939A0" w14:textId="77777777" w:rsidR="00115B39" w:rsidRPr="002D3067" w:rsidRDefault="00115B39" w:rsidP="00115B39">
      <w:pPr>
        <w:pStyle w:val="Akapitzlist"/>
        <w:numPr>
          <w:ilvl w:val="0"/>
          <w:numId w:val="13"/>
        </w:numPr>
        <w:spacing w:before="120" w:after="120" w:line="360" w:lineRule="auto"/>
        <w:ind w:left="357" w:hanging="357"/>
        <w:contextualSpacing w:val="0"/>
        <w:rPr>
          <w:rFonts w:cs="Arial"/>
          <w:color w:val="000000"/>
        </w:rPr>
      </w:pPr>
      <w:r w:rsidRPr="002245F9">
        <w:rPr>
          <w:rFonts w:cs="Arial"/>
          <w:color w:val="000000"/>
        </w:rPr>
        <w:lastRenderedPageBreak/>
        <w:t xml:space="preserve">Jeżeli stanowisko pracy </w:t>
      </w:r>
      <w:r>
        <w:rPr>
          <w:rFonts w:cs="Arial"/>
          <w:color w:val="000000"/>
        </w:rPr>
        <w:t xml:space="preserve">obejmuje </w:t>
      </w:r>
      <w:r w:rsidRPr="002245F9">
        <w:rPr>
          <w:rFonts w:cs="Arial"/>
          <w:color w:val="000000"/>
        </w:rPr>
        <w:t xml:space="preserve">zaangażowane </w:t>
      </w:r>
      <w:r>
        <w:rPr>
          <w:rFonts w:cs="Arial"/>
          <w:color w:val="000000"/>
        </w:rPr>
        <w:t xml:space="preserve">w </w:t>
      </w:r>
      <w:r w:rsidRPr="002245F9">
        <w:rPr>
          <w:rFonts w:cs="Arial"/>
          <w:color w:val="000000"/>
        </w:rPr>
        <w:t>więcej niż jed</w:t>
      </w:r>
      <w:r>
        <w:rPr>
          <w:rFonts w:cs="Arial"/>
          <w:color w:val="000000"/>
        </w:rPr>
        <w:t>en</w:t>
      </w:r>
      <w:r w:rsidRPr="002245F9">
        <w:rPr>
          <w:rFonts w:cs="Arial"/>
          <w:color w:val="000000"/>
        </w:rPr>
        <w:t xml:space="preserve"> program, zakup sprzętu lub wyposażenia może zostać rozliczony w całości ze środków programu, w którym </w:t>
      </w:r>
      <w:r w:rsidRPr="002D3067">
        <w:rPr>
          <w:rFonts w:cs="Arial"/>
          <w:color w:val="000000"/>
        </w:rPr>
        <w:t>zaangażowanie wynosi co najmniej 50%, pod warunkiem uzyskania zgody właściwej instytucji.</w:t>
      </w:r>
    </w:p>
    <w:p w14:paraId="47D47316" w14:textId="77777777" w:rsidR="00115B39" w:rsidRPr="002D3067" w:rsidRDefault="00115B39" w:rsidP="00115B39">
      <w:pPr>
        <w:pStyle w:val="Akapitzlist"/>
        <w:numPr>
          <w:ilvl w:val="0"/>
          <w:numId w:val="13"/>
        </w:numPr>
        <w:spacing w:before="120" w:after="120" w:line="360" w:lineRule="auto"/>
        <w:ind w:left="357" w:hanging="357"/>
        <w:rPr>
          <w:rFonts w:cs="Arial"/>
          <w:color w:val="000000"/>
        </w:rPr>
      </w:pPr>
      <w:r w:rsidRPr="002D3067">
        <w:rPr>
          <w:rFonts w:cs="Arial"/>
          <w:color w:val="000000"/>
        </w:rPr>
        <w:t>Na wniosek wnioskodawcy lub beneficjenta za zgodą właściwych instytucji można przyjąć inny sposób rozliczania wydatków, oparty na zasadzie proporcjonalności, np. bazujący na limicie etatów kwalifikowalnych przypisanych do realizacji zadań w ramach danego programu.</w:t>
      </w:r>
    </w:p>
    <w:p w14:paraId="3C4FE32A" w14:textId="2CD4708D" w:rsidR="00115B39" w:rsidRPr="002245F9" w:rsidRDefault="00115B39" w:rsidP="00115B39">
      <w:pPr>
        <w:pStyle w:val="Default"/>
        <w:numPr>
          <w:ilvl w:val="0"/>
          <w:numId w:val="13"/>
        </w:numPr>
        <w:ind w:left="357" w:hanging="357"/>
        <w:rPr>
          <w:rFonts w:ascii="Arial" w:hAnsi="Arial" w:cs="Arial"/>
        </w:rPr>
      </w:pPr>
      <w:r w:rsidRPr="002D3067">
        <w:rPr>
          <w:rFonts w:ascii="Arial" w:hAnsi="Arial" w:cs="Arial"/>
        </w:rPr>
        <w:t>Zakup sprzętu i wyposażenia, nabywanego na potrzeby jednostki organizacyjnej, którego nie można bezpośrednio powiązać z</w:t>
      </w:r>
      <w:r>
        <w:rPr>
          <w:rFonts w:ascii="Arial" w:hAnsi="Arial" w:cs="Arial"/>
        </w:rPr>
        <w:t>e stanowiskiem pracy</w:t>
      </w:r>
      <w:r w:rsidRPr="002D3067">
        <w:rPr>
          <w:rFonts w:ascii="Arial" w:hAnsi="Arial" w:cs="Arial"/>
        </w:rPr>
        <w:t xml:space="preserve"> (np. drukarki sieciowe, kserokopiarki, tonery do drukarek, materiały biurowe</w:t>
      </w:r>
      <w:r w:rsidRPr="002245F9">
        <w:rPr>
          <w:rFonts w:ascii="Arial" w:hAnsi="Arial" w:cs="Arial"/>
        </w:rPr>
        <w:t xml:space="preserve">) należy finansować ze środków pomocy </w:t>
      </w:r>
      <w:r w:rsidRPr="0028166C">
        <w:rPr>
          <w:rFonts w:ascii="Arial" w:hAnsi="Arial" w:cs="Arial"/>
        </w:rPr>
        <w:t>technicznej w oparciu</w:t>
      </w:r>
      <w:r w:rsidRPr="002245F9">
        <w:rPr>
          <w:rFonts w:ascii="Arial" w:hAnsi="Arial" w:cs="Arial"/>
        </w:rPr>
        <w:t xml:space="preserve"> o metod</w:t>
      </w:r>
      <w:r>
        <w:rPr>
          <w:rFonts w:ascii="Arial" w:hAnsi="Arial" w:cs="Arial"/>
        </w:rPr>
        <w:t>ykę</w:t>
      </w:r>
      <w:r w:rsidRPr="002245F9">
        <w:rPr>
          <w:rFonts w:ascii="Arial" w:hAnsi="Arial" w:cs="Arial"/>
        </w:rPr>
        <w:t xml:space="preserve"> opisaną w</w:t>
      </w:r>
      <w:r>
        <w:rPr>
          <w:rFonts w:ascii="Arial" w:hAnsi="Arial" w:cs="Arial"/>
        </w:rPr>
        <w:t> sekcji</w:t>
      </w:r>
      <w:r w:rsidRPr="002245F9">
        <w:rPr>
          <w:rFonts w:ascii="Arial" w:hAnsi="Arial" w:cs="Arial"/>
        </w:rPr>
        <w:t xml:space="preserve"> 9.2.2.</w:t>
      </w:r>
    </w:p>
    <w:p w14:paraId="5FCAA9BB" w14:textId="77777777" w:rsidR="00115B39" w:rsidRPr="002245F9" w:rsidRDefault="00115B39" w:rsidP="00115B39">
      <w:pPr>
        <w:pStyle w:val="Default"/>
        <w:numPr>
          <w:ilvl w:val="0"/>
          <w:numId w:val="13"/>
        </w:numPr>
        <w:ind w:left="357" w:hanging="357"/>
        <w:rPr>
          <w:rFonts w:ascii="Arial" w:hAnsi="Arial" w:cs="Arial"/>
        </w:rPr>
      </w:pPr>
      <w:r w:rsidRPr="002245F9">
        <w:rPr>
          <w:rFonts w:ascii="Arial" w:hAnsi="Arial" w:cs="Arial"/>
        </w:rPr>
        <w:t>W przypadku stanowisk, których kwalifikowalność jest rozliczana na podstawie kart czasu pracy, przy ustalaniu poziomu dofinansowania zakupu sprzętu należy brać pod uwagę średnią kwalifikowalność z ostatnich 12 miesięcy poprzedzających miesiąc poniesienia wydatku lub krótszą, jeżeli od momentu obsadzenia stanowiska minęło mniej niż 12 miesięcy (należy uwzględniać czas przepracowany, nie uwzględnia się urlopu macierzyńskiego, rodzicielskiego, wychowawczego czy też długotrwałego zwolnienia lekarskiego).</w:t>
      </w:r>
    </w:p>
    <w:p w14:paraId="7CDE6537" w14:textId="77777777" w:rsidR="00115B39" w:rsidRPr="002245F9" w:rsidRDefault="00115B39" w:rsidP="00115B39">
      <w:pPr>
        <w:pStyle w:val="Default"/>
        <w:numPr>
          <w:ilvl w:val="0"/>
          <w:numId w:val="13"/>
        </w:numPr>
        <w:ind w:left="357" w:hanging="357"/>
        <w:rPr>
          <w:rFonts w:ascii="Arial" w:hAnsi="Arial" w:cs="Arial"/>
        </w:rPr>
      </w:pPr>
      <w:r w:rsidRPr="002245F9">
        <w:rPr>
          <w:rFonts w:ascii="Arial" w:hAnsi="Arial" w:cs="Arial"/>
        </w:rPr>
        <w:t>Kwalifikowalne jest niezbędne wyposażenie stanowiska pracy określone w odpowiednich przepisach BHP (biurko, krzesło, zagłówki, podnóżki, apteczka itp.).</w:t>
      </w:r>
    </w:p>
    <w:p w14:paraId="7ADDD99A" w14:textId="77777777" w:rsidR="00115B39" w:rsidRPr="00484A56" w:rsidRDefault="00115B39" w:rsidP="00C57D65">
      <w:pPr>
        <w:pStyle w:val="Nagwek3"/>
      </w:pPr>
      <w:bookmarkStart w:id="290" w:name="_Toc109128034"/>
      <w:bookmarkStart w:id="291" w:name="_Toc110601988"/>
      <w:bookmarkStart w:id="292" w:name="_Toc88553318"/>
      <w:bookmarkStart w:id="293" w:name="_Toc95118939"/>
      <w:r w:rsidRPr="00484A56">
        <w:t>Sekcja 9.2.2.4 Delegacje służbowe</w:t>
      </w:r>
      <w:bookmarkEnd w:id="290"/>
      <w:bookmarkEnd w:id="291"/>
      <w:r w:rsidRPr="00484A56">
        <w:t xml:space="preserve"> </w:t>
      </w:r>
      <w:bookmarkEnd w:id="292"/>
      <w:bookmarkEnd w:id="293"/>
    </w:p>
    <w:p w14:paraId="2BF1D512" w14:textId="77777777" w:rsidR="00115B39" w:rsidRPr="002245F9" w:rsidRDefault="00115B39" w:rsidP="00115B39">
      <w:pPr>
        <w:pStyle w:val="Default"/>
        <w:numPr>
          <w:ilvl w:val="0"/>
          <w:numId w:val="14"/>
        </w:numPr>
        <w:ind w:left="357" w:hanging="357"/>
        <w:rPr>
          <w:rFonts w:ascii="Arial" w:hAnsi="Arial" w:cs="Arial"/>
        </w:rPr>
      </w:pPr>
      <w:r w:rsidRPr="002245F9">
        <w:rPr>
          <w:rFonts w:ascii="Arial" w:hAnsi="Arial" w:cs="Arial"/>
        </w:rPr>
        <w:t>Cel delegacji powinien być bezpośrednio związany z zadaniami kwalifikowalnymi instytucji w zakresie realizacji polityki spójności a koszty takiej delegacji mogą być rozliczone w całości ze środków pomocy technicznej, niezależnie od poziomu kwalifikowalności stanowiska pracy.</w:t>
      </w:r>
    </w:p>
    <w:p w14:paraId="7787CB35" w14:textId="77777777" w:rsidR="00115B39" w:rsidRPr="002245F9" w:rsidRDefault="00115B39" w:rsidP="00115B39">
      <w:pPr>
        <w:pStyle w:val="Default"/>
        <w:numPr>
          <w:ilvl w:val="0"/>
          <w:numId w:val="14"/>
        </w:numPr>
        <w:ind w:left="357" w:hanging="357"/>
        <w:rPr>
          <w:rFonts w:ascii="Arial" w:hAnsi="Arial" w:cs="Arial"/>
        </w:rPr>
      </w:pPr>
      <w:r w:rsidRPr="002245F9">
        <w:rPr>
          <w:rFonts w:ascii="Arial" w:hAnsi="Arial" w:cs="Arial"/>
        </w:rPr>
        <w:t>Wydatki poniesione w ramach delegacji nie powinny przekraczać limitów obowiązujących daną jednostkę na podstawie przepisów krajowych lub regulacji wewnętrznych.</w:t>
      </w:r>
    </w:p>
    <w:p w14:paraId="2F8BAEE2" w14:textId="77777777" w:rsidR="00115B39" w:rsidRPr="002245F9" w:rsidRDefault="00115B39" w:rsidP="00115B39">
      <w:pPr>
        <w:pStyle w:val="Default"/>
        <w:numPr>
          <w:ilvl w:val="0"/>
          <w:numId w:val="14"/>
        </w:numPr>
        <w:ind w:left="357" w:hanging="357"/>
        <w:rPr>
          <w:rFonts w:ascii="Arial" w:hAnsi="Arial" w:cs="Arial"/>
        </w:rPr>
      </w:pPr>
      <w:r w:rsidRPr="002245F9">
        <w:rPr>
          <w:rFonts w:ascii="Arial" w:hAnsi="Arial" w:cs="Arial"/>
        </w:rPr>
        <w:lastRenderedPageBreak/>
        <w:t>Przejazdy powinny odbywać się przy użyciu najbardziej efektywnych i</w:t>
      </w:r>
      <w:r>
        <w:rPr>
          <w:rFonts w:ascii="Arial" w:hAnsi="Arial" w:cs="Arial"/>
        </w:rPr>
        <w:t> </w:t>
      </w:r>
      <w:r w:rsidRPr="002245F9">
        <w:rPr>
          <w:rFonts w:ascii="Arial" w:hAnsi="Arial" w:cs="Arial"/>
        </w:rPr>
        <w:t>uzasadnionych ekonomicznie środków transportu.</w:t>
      </w:r>
    </w:p>
    <w:p w14:paraId="1CC0ED0B" w14:textId="77777777" w:rsidR="00115B39" w:rsidRPr="002245F9" w:rsidRDefault="00115B39" w:rsidP="00115B39">
      <w:pPr>
        <w:pStyle w:val="Default"/>
        <w:numPr>
          <w:ilvl w:val="0"/>
          <w:numId w:val="14"/>
        </w:numPr>
        <w:ind w:left="357" w:hanging="357"/>
        <w:rPr>
          <w:rFonts w:ascii="Arial" w:hAnsi="Arial" w:cs="Arial"/>
        </w:rPr>
      </w:pPr>
      <w:r w:rsidRPr="002245F9">
        <w:rPr>
          <w:rFonts w:ascii="Arial" w:hAnsi="Arial" w:cs="Arial"/>
        </w:rPr>
        <w:t>Prywatne środki transportu rozliczane są tylko do wysokości, określonej w odpowiednich przepisach krajowych lub w regulaminach wewnętrznych beneficjentów, którzy nie są zobowiązani do stosowania przepisów krajowych.</w:t>
      </w:r>
    </w:p>
    <w:p w14:paraId="305289C7" w14:textId="77777777" w:rsidR="00115B39" w:rsidRPr="002245F9" w:rsidRDefault="00115B39" w:rsidP="00115B39">
      <w:pPr>
        <w:pStyle w:val="Default"/>
        <w:numPr>
          <w:ilvl w:val="0"/>
          <w:numId w:val="14"/>
        </w:numPr>
        <w:ind w:left="357" w:hanging="357"/>
        <w:rPr>
          <w:rFonts w:ascii="Arial" w:hAnsi="Arial" w:cs="Arial"/>
        </w:rPr>
      </w:pPr>
      <w:r w:rsidRPr="002245F9">
        <w:rPr>
          <w:rFonts w:ascii="Arial" w:hAnsi="Arial" w:cs="Arial"/>
        </w:rPr>
        <w:t xml:space="preserve">Kwalifikowalne jest wynagrodzenie wynikające z tytułu umowy cywilnoprawnej zawartej między pracownikiem a pracodawcą dotyczącej wykorzystywania samochodu prywatnego do celów służbowych. </w:t>
      </w:r>
    </w:p>
    <w:p w14:paraId="697C5568" w14:textId="77777777" w:rsidR="00115B39" w:rsidRPr="007A0FA9" w:rsidRDefault="00115B39" w:rsidP="00115B39">
      <w:pPr>
        <w:pStyle w:val="Default"/>
        <w:numPr>
          <w:ilvl w:val="0"/>
          <w:numId w:val="14"/>
        </w:numPr>
        <w:ind w:left="357" w:hanging="357"/>
        <w:rPr>
          <w:rFonts w:ascii="Arial" w:hAnsi="Arial" w:cs="Arial"/>
        </w:rPr>
      </w:pPr>
      <w:r w:rsidRPr="007A0FA9">
        <w:rPr>
          <w:rFonts w:ascii="Arial" w:hAnsi="Arial" w:cs="Arial"/>
        </w:rPr>
        <w:t xml:space="preserve">Ze środków pomocy technicznej możliwe jest rozliczenie kosztów delegacji pracownika obsługującego podróż służbową (kierowcy) oraz opłaty za przejazd płatnymi odcinkami dróg. </w:t>
      </w:r>
    </w:p>
    <w:p w14:paraId="61E566DF" w14:textId="77777777" w:rsidR="00115B39" w:rsidRPr="002245F9" w:rsidRDefault="00115B39" w:rsidP="00115B39">
      <w:pPr>
        <w:pStyle w:val="Default"/>
        <w:numPr>
          <w:ilvl w:val="0"/>
          <w:numId w:val="14"/>
        </w:numPr>
        <w:ind w:left="357" w:hanging="357"/>
        <w:rPr>
          <w:rFonts w:ascii="Arial" w:hAnsi="Arial" w:cs="Arial"/>
        </w:rPr>
      </w:pPr>
      <w:r w:rsidRPr="002245F9">
        <w:rPr>
          <w:rFonts w:ascii="Arial" w:hAnsi="Arial" w:cs="Arial"/>
        </w:rPr>
        <w:t>Koszty parkingu mogą być rozliczone w przypadku, gdy dotyczą delegacji (np. opłata za parking hotelowy, opłata za parkowanie w strefie płatnego parkowania w trakcie wykonywania czynności służbowych).</w:t>
      </w:r>
    </w:p>
    <w:p w14:paraId="38A86F06" w14:textId="77777777" w:rsidR="00115B39" w:rsidRPr="002245F9" w:rsidRDefault="00115B39" w:rsidP="00115B39">
      <w:pPr>
        <w:pStyle w:val="Default"/>
        <w:numPr>
          <w:ilvl w:val="0"/>
          <w:numId w:val="14"/>
        </w:numPr>
        <w:ind w:left="357" w:hanging="357"/>
        <w:rPr>
          <w:rFonts w:ascii="Arial" w:hAnsi="Arial" w:cs="Arial"/>
        </w:rPr>
      </w:pPr>
      <w:r w:rsidRPr="002245F9">
        <w:rPr>
          <w:rFonts w:ascii="Arial" w:hAnsi="Arial" w:cs="Arial"/>
        </w:rPr>
        <w:t>Wydatki związane z opłatami manipulacyjnymi (np. dopłata za bilet kolejowy u konduktora, opłata za zmianę rezerwacji biletu lotniczego itp.) mogą być uznane za kwalifikowalne jedynie w uzasadnionych okolicznościach i po indywidualnej interpretacji każdego przypadku przez właściwą instytucję.</w:t>
      </w:r>
    </w:p>
    <w:p w14:paraId="30B8163E" w14:textId="77777777" w:rsidR="00115B39" w:rsidRPr="00150B68" w:rsidRDefault="00115B39" w:rsidP="00C57D65">
      <w:pPr>
        <w:pStyle w:val="Nagwek3"/>
      </w:pPr>
      <w:bookmarkStart w:id="294" w:name="_Toc109128035"/>
      <w:bookmarkStart w:id="295" w:name="_Toc110601989"/>
      <w:bookmarkStart w:id="296" w:name="_Toc88553319"/>
      <w:bookmarkStart w:id="297" w:name="_Toc95118940"/>
      <w:r w:rsidRPr="00150B68">
        <w:t>Sekcja 9.2.2.5 Systemy informatyczne</w:t>
      </w:r>
      <w:bookmarkEnd w:id="294"/>
      <w:bookmarkEnd w:id="295"/>
      <w:r w:rsidRPr="00150B68">
        <w:t xml:space="preserve"> </w:t>
      </w:r>
      <w:bookmarkEnd w:id="296"/>
      <w:bookmarkEnd w:id="297"/>
    </w:p>
    <w:p w14:paraId="213A12EE" w14:textId="77777777" w:rsidR="00115B39" w:rsidRPr="002245F9" w:rsidRDefault="00115B39" w:rsidP="00115B39">
      <w:pPr>
        <w:pStyle w:val="Default"/>
        <w:numPr>
          <w:ilvl w:val="0"/>
          <w:numId w:val="17"/>
        </w:numPr>
        <w:ind w:left="357" w:hanging="357"/>
        <w:rPr>
          <w:rFonts w:ascii="Arial" w:hAnsi="Arial" w:cs="Arial"/>
        </w:rPr>
      </w:pPr>
      <w:r w:rsidRPr="002245F9">
        <w:rPr>
          <w:rFonts w:ascii="Arial" w:hAnsi="Arial" w:cs="Arial"/>
        </w:rPr>
        <w:t>Bez uszczerbku dla art. 4 ust. 2 pkt 6 ustawy wdrożeniowej, w ramach pomocy technicznej kwalifikowalna jest budowa, wdrożenie i utrzymanie systemów teleinformatycznych (wraz z niezbędną infrastrukturą teleinformatyczną).</w:t>
      </w:r>
    </w:p>
    <w:p w14:paraId="4BF4F619" w14:textId="77777777" w:rsidR="00115B39" w:rsidRPr="002245F9" w:rsidRDefault="00115B39" w:rsidP="00115B39">
      <w:pPr>
        <w:pStyle w:val="Default"/>
        <w:numPr>
          <w:ilvl w:val="0"/>
          <w:numId w:val="17"/>
        </w:numPr>
        <w:ind w:left="357" w:hanging="357"/>
        <w:rPr>
          <w:rFonts w:ascii="Arial" w:hAnsi="Arial" w:cs="Arial"/>
        </w:rPr>
      </w:pPr>
      <w:r w:rsidRPr="002245F9">
        <w:rPr>
          <w:rFonts w:ascii="Arial" w:hAnsi="Arial" w:cs="Arial"/>
        </w:rPr>
        <w:t xml:space="preserve">Systemy teleinformatyczne kwalifikują się do wsparcia z pomocy technicznej, jeżeli korzystanie z nich jest ujęte w procedurach właściwej instytucji. </w:t>
      </w:r>
    </w:p>
    <w:p w14:paraId="0F91FB6C" w14:textId="77777777" w:rsidR="00115B39" w:rsidRPr="002245F9" w:rsidRDefault="00115B39" w:rsidP="00115B39">
      <w:pPr>
        <w:pStyle w:val="Default"/>
        <w:numPr>
          <w:ilvl w:val="0"/>
          <w:numId w:val="17"/>
        </w:numPr>
        <w:ind w:left="357" w:hanging="357"/>
        <w:contextualSpacing/>
        <w:rPr>
          <w:rFonts w:ascii="Arial" w:hAnsi="Arial" w:cs="Arial"/>
        </w:rPr>
      </w:pPr>
      <w:r w:rsidRPr="002245F9">
        <w:rPr>
          <w:rFonts w:ascii="Arial" w:hAnsi="Arial" w:cs="Arial"/>
        </w:rPr>
        <w:t>W uzasadnionych przypadkach za kwalifikowalne będą mogły zostać uznane również wydatki związane z budową, utrzymaniem oraz rozwojem innych systemów i narzędzi informatycznych, w szczególności:</w:t>
      </w:r>
    </w:p>
    <w:p w14:paraId="6E6705A5" w14:textId="77777777" w:rsidR="00115B39" w:rsidRPr="002245F9" w:rsidRDefault="00115B39" w:rsidP="00115B39">
      <w:pPr>
        <w:pStyle w:val="Default"/>
        <w:numPr>
          <w:ilvl w:val="0"/>
          <w:numId w:val="18"/>
        </w:numPr>
        <w:ind w:left="714" w:hanging="357"/>
        <w:contextualSpacing/>
        <w:rPr>
          <w:rFonts w:ascii="Arial" w:hAnsi="Arial" w:cs="Arial"/>
        </w:rPr>
      </w:pPr>
      <w:r w:rsidRPr="002245F9">
        <w:rPr>
          <w:rFonts w:ascii="Arial" w:hAnsi="Arial" w:cs="Arial"/>
        </w:rPr>
        <w:t>związanych z obsługą programów i projektów realizowanych w ramach funduszy polityki spójności, np. generatory wniosków o dofinansowanie, systemy księgowe w zakresie wykorzystywania przez instytucje zaangażowane w realizację polityki spójności,</w:t>
      </w:r>
    </w:p>
    <w:p w14:paraId="0150799D" w14:textId="6CEEAECE" w:rsidR="00115B39" w:rsidRPr="002245F9" w:rsidRDefault="00115B39" w:rsidP="00115B39">
      <w:pPr>
        <w:pStyle w:val="Default"/>
        <w:numPr>
          <w:ilvl w:val="0"/>
          <w:numId w:val="18"/>
        </w:numPr>
        <w:ind w:left="714" w:hanging="357"/>
        <w:contextualSpacing/>
        <w:rPr>
          <w:rFonts w:ascii="Arial" w:hAnsi="Arial" w:cs="Arial"/>
        </w:rPr>
      </w:pPr>
      <w:r w:rsidRPr="002245F9">
        <w:rPr>
          <w:rFonts w:ascii="Arial" w:hAnsi="Arial" w:cs="Arial"/>
        </w:rPr>
        <w:lastRenderedPageBreak/>
        <w:t xml:space="preserve">wykorzystywanych przez instytucje horyzontalne (wykonujące zadania na rzecz więcej niż jednego </w:t>
      </w:r>
      <w:r>
        <w:rPr>
          <w:rFonts w:ascii="Arial" w:hAnsi="Arial" w:cs="Arial"/>
        </w:rPr>
        <w:t>krajowego</w:t>
      </w:r>
      <w:r w:rsidRPr="002245F9">
        <w:rPr>
          <w:rFonts w:ascii="Arial" w:hAnsi="Arial" w:cs="Arial"/>
        </w:rPr>
        <w:t xml:space="preserve"> </w:t>
      </w:r>
      <w:r>
        <w:rPr>
          <w:rFonts w:ascii="Arial" w:hAnsi="Arial" w:cs="Arial"/>
        </w:rPr>
        <w:t xml:space="preserve">programu </w:t>
      </w:r>
      <w:r w:rsidRPr="002245F9">
        <w:rPr>
          <w:rFonts w:ascii="Arial" w:hAnsi="Arial" w:cs="Arial"/>
        </w:rPr>
        <w:t>z wyłączeniem IZ/IP/</w:t>
      </w:r>
      <w:r w:rsidR="0036452A">
        <w:rPr>
          <w:rFonts w:ascii="Arial" w:hAnsi="Arial" w:cs="Arial"/>
        </w:rPr>
        <w:t>IW</w:t>
      </w:r>
      <w:r w:rsidRPr="00C776D0">
        <w:rPr>
          <w:rFonts w:ascii="Arial" w:hAnsi="Arial" w:cs="Arial"/>
        </w:rPr>
        <w:t>),</w:t>
      </w:r>
      <w:r w:rsidRPr="002245F9">
        <w:rPr>
          <w:rFonts w:ascii="Arial" w:hAnsi="Arial" w:cs="Arial"/>
        </w:rPr>
        <w:t xml:space="preserve"> np. w</w:t>
      </w:r>
      <w:r>
        <w:rPr>
          <w:rFonts w:ascii="Arial" w:hAnsi="Arial" w:cs="Arial"/>
        </w:rPr>
        <w:t> </w:t>
      </w:r>
      <w:r w:rsidRPr="002245F9">
        <w:rPr>
          <w:rFonts w:ascii="Arial" w:hAnsi="Arial" w:cs="Arial"/>
        </w:rPr>
        <w:t xml:space="preserve">zakresie statystyki publicznej, pomocy publicznej. </w:t>
      </w:r>
    </w:p>
    <w:p w14:paraId="07563A74" w14:textId="77777777" w:rsidR="00115B39" w:rsidRPr="004D7E8E" w:rsidRDefault="00115B39" w:rsidP="00C57D65">
      <w:pPr>
        <w:pStyle w:val="Nagwek3"/>
      </w:pPr>
      <w:bookmarkStart w:id="298" w:name="_Toc88553320"/>
      <w:bookmarkStart w:id="299" w:name="_Toc95118941"/>
      <w:bookmarkStart w:id="300" w:name="_Toc109128036"/>
      <w:bookmarkStart w:id="301" w:name="_Toc110601990"/>
      <w:r w:rsidRPr="004D7E8E">
        <w:t>Sekcja 9.2.2.6 Informacja i promocja</w:t>
      </w:r>
      <w:bookmarkEnd w:id="298"/>
      <w:bookmarkEnd w:id="299"/>
      <w:bookmarkEnd w:id="300"/>
      <w:bookmarkEnd w:id="301"/>
    </w:p>
    <w:p w14:paraId="120D3362" w14:textId="77777777" w:rsidR="00115B39" w:rsidRPr="002245F9" w:rsidRDefault="00115B39" w:rsidP="00115B39">
      <w:pPr>
        <w:pStyle w:val="Default"/>
        <w:numPr>
          <w:ilvl w:val="0"/>
          <w:numId w:val="15"/>
        </w:numPr>
        <w:ind w:left="357" w:hanging="357"/>
        <w:rPr>
          <w:rFonts w:ascii="Arial" w:hAnsi="Arial" w:cs="Arial"/>
        </w:rPr>
      </w:pPr>
      <w:r w:rsidRPr="002245F9">
        <w:rPr>
          <w:rFonts w:ascii="Arial" w:hAnsi="Arial" w:cs="Arial"/>
        </w:rPr>
        <w:t>Ze środków pomocy technicznej możliwe jest finansowanie wydatków związanych z promocją oraz informacją w zakresie funduszy polityki spójności Unii Europejskiej.</w:t>
      </w:r>
    </w:p>
    <w:p w14:paraId="1F790145" w14:textId="4F92BD0D" w:rsidR="00115B39" w:rsidRPr="001E218C" w:rsidRDefault="00115B39" w:rsidP="00115B39">
      <w:pPr>
        <w:pStyle w:val="Default"/>
        <w:numPr>
          <w:ilvl w:val="0"/>
          <w:numId w:val="15"/>
        </w:numPr>
        <w:ind w:left="357" w:hanging="357"/>
        <w:rPr>
          <w:rFonts w:ascii="Arial" w:hAnsi="Arial" w:cs="Arial"/>
        </w:rPr>
      </w:pPr>
      <w:r w:rsidRPr="002245F9">
        <w:rPr>
          <w:rFonts w:ascii="Arial" w:hAnsi="Arial" w:cs="Arial"/>
        </w:rPr>
        <w:t xml:space="preserve">Wydatki związane z informacją i promocją FE są kwalifikowalne pod warunkiem ich zgodności z warunkami opisanymi w Wytycznych </w:t>
      </w:r>
      <w:r>
        <w:rPr>
          <w:rFonts w:ascii="Arial" w:hAnsi="Arial" w:cs="Arial"/>
        </w:rPr>
        <w:t xml:space="preserve">dotyczących </w:t>
      </w:r>
      <w:r w:rsidRPr="002245F9">
        <w:rPr>
          <w:rFonts w:ascii="Arial" w:hAnsi="Arial" w:cs="Arial"/>
        </w:rPr>
        <w:t xml:space="preserve">kwalifikowalności oraz </w:t>
      </w:r>
      <w:r w:rsidRPr="001E218C">
        <w:rPr>
          <w:rFonts w:ascii="Arial" w:hAnsi="Arial" w:cs="Arial"/>
        </w:rPr>
        <w:t xml:space="preserve">w Wytycznych </w:t>
      </w:r>
      <w:r w:rsidR="00BF381D">
        <w:rPr>
          <w:rFonts w:ascii="Arial" w:hAnsi="Arial" w:cs="Arial"/>
        </w:rPr>
        <w:t xml:space="preserve">dotyczących </w:t>
      </w:r>
      <w:r w:rsidRPr="001E218C">
        <w:rPr>
          <w:rFonts w:ascii="Arial" w:hAnsi="Arial" w:cs="Arial"/>
        </w:rPr>
        <w:t xml:space="preserve">informacji i promocji </w:t>
      </w:r>
      <w:r w:rsidR="00BF381D">
        <w:rPr>
          <w:rFonts w:ascii="Arial" w:hAnsi="Arial" w:cs="Arial"/>
        </w:rPr>
        <w:t>Funduszy Europejskich</w:t>
      </w:r>
      <w:r w:rsidRPr="001E218C">
        <w:rPr>
          <w:rFonts w:ascii="Arial" w:hAnsi="Arial" w:cs="Arial"/>
        </w:rPr>
        <w:t xml:space="preserve"> na lata 2021-2027.</w:t>
      </w:r>
    </w:p>
    <w:p w14:paraId="00327AEA" w14:textId="77777777" w:rsidR="00115B39" w:rsidRPr="002245F9" w:rsidRDefault="00115B39" w:rsidP="00115B39">
      <w:pPr>
        <w:pStyle w:val="Default"/>
        <w:numPr>
          <w:ilvl w:val="0"/>
          <w:numId w:val="15"/>
        </w:numPr>
        <w:ind w:left="357" w:hanging="357"/>
        <w:rPr>
          <w:rFonts w:ascii="Arial" w:hAnsi="Arial" w:cs="Arial"/>
        </w:rPr>
      </w:pPr>
      <w:r w:rsidRPr="00972923">
        <w:rPr>
          <w:rFonts w:ascii="Arial" w:hAnsi="Arial" w:cs="Arial"/>
        </w:rPr>
        <w:t>Kwalifikowalne są wydatki na działania niezbędne do realizacji wspólnej Strategii komunikacji Funduszy Europejskich na lata 2021-2027 (wraz z załącznikami w postaci Strategii Komunikacji Krajowych Programów) oraz Strategii komunikacji Programów Regionalnych z wykorzystaniem odpowiednich narzędzi i kanałów</w:t>
      </w:r>
      <w:r w:rsidRPr="002245F9">
        <w:rPr>
          <w:rFonts w:ascii="Arial" w:hAnsi="Arial" w:cs="Arial"/>
        </w:rPr>
        <w:t>.</w:t>
      </w:r>
    </w:p>
    <w:p w14:paraId="2BA21FBD" w14:textId="77777777" w:rsidR="00115B39" w:rsidRPr="002245F9" w:rsidRDefault="00115B39" w:rsidP="00115B39">
      <w:pPr>
        <w:pStyle w:val="Default"/>
        <w:numPr>
          <w:ilvl w:val="0"/>
          <w:numId w:val="15"/>
        </w:numPr>
        <w:ind w:left="357" w:hanging="357"/>
        <w:rPr>
          <w:rFonts w:ascii="Arial" w:hAnsi="Arial" w:cs="Arial"/>
        </w:rPr>
      </w:pPr>
      <w:r w:rsidRPr="002245F9">
        <w:rPr>
          <w:rFonts w:ascii="Arial" w:hAnsi="Arial" w:cs="Arial"/>
        </w:rPr>
        <w:t xml:space="preserve">W ramach działań informacyjno – promocyjnych możliwe jest finansowanie szkoleń dla pracowników instytucji zaangażowanych w realizację funduszy polityki spójności, beneficjentów, potencjalnych beneficjentów a także partnerów. </w:t>
      </w:r>
    </w:p>
    <w:p w14:paraId="05A864C1" w14:textId="77777777" w:rsidR="00115B39" w:rsidRPr="002245F9" w:rsidRDefault="00115B39" w:rsidP="00115B39">
      <w:pPr>
        <w:pStyle w:val="Default"/>
        <w:numPr>
          <w:ilvl w:val="0"/>
          <w:numId w:val="15"/>
        </w:numPr>
        <w:ind w:left="357" w:hanging="357"/>
        <w:rPr>
          <w:rFonts w:ascii="Arial" w:hAnsi="Arial" w:cs="Arial"/>
        </w:rPr>
      </w:pPr>
      <w:r w:rsidRPr="002245F9">
        <w:rPr>
          <w:rFonts w:ascii="Arial" w:hAnsi="Arial" w:cs="Arial"/>
        </w:rPr>
        <w:t>Wydatki na cele reprezentacyjne, które nie są związane z promocją funduszy polityki spójności są niekwalifikowalne.</w:t>
      </w:r>
    </w:p>
    <w:p w14:paraId="282DE41E" w14:textId="77777777" w:rsidR="00115B39" w:rsidRPr="002245F9" w:rsidRDefault="00115B39" w:rsidP="00115B39">
      <w:pPr>
        <w:pStyle w:val="Default"/>
        <w:numPr>
          <w:ilvl w:val="0"/>
          <w:numId w:val="15"/>
        </w:numPr>
        <w:ind w:left="357" w:hanging="357"/>
        <w:rPr>
          <w:rFonts w:ascii="Arial" w:hAnsi="Arial" w:cs="Arial"/>
        </w:rPr>
      </w:pPr>
      <w:r w:rsidRPr="002245F9">
        <w:rPr>
          <w:rFonts w:ascii="Arial" w:hAnsi="Arial" w:cs="Arial"/>
        </w:rPr>
        <w:t xml:space="preserve">W odniesieniu </w:t>
      </w:r>
      <w:r>
        <w:rPr>
          <w:rFonts w:ascii="Arial" w:hAnsi="Arial" w:cs="Arial"/>
        </w:rPr>
        <w:t>działań</w:t>
      </w:r>
      <w:r w:rsidRPr="002245F9">
        <w:rPr>
          <w:rFonts w:ascii="Arial" w:hAnsi="Arial" w:cs="Arial"/>
        </w:rPr>
        <w:t xml:space="preserve"> związanych z informacją i promocją, w</w:t>
      </w:r>
      <w:r>
        <w:rPr>
          <w:rFonts w:ascii="Arial" w:hAnsi="Arial" w:cs="Arial"/>
        </w:rPr>
        <w:t> </w:t>
      </w:r>
      <w:r w:rsidRPr="002245F9">
        <w:rPr>
          <w:rFonts w:ascii="Arial" w:hAnsi="Arial" w:cs="Arial"/>
        </w:rPr>
        <w:t>przypadku wystąpienia wydatków związanych z wynagrodzeniami, szkoleniami oraz wsparciem funkcjonowania instytucji, mają zastosowanie warunki opisane w</w:t>
      </w:r>
      <w:r>
        <w:rPr>
          <w:rFonts w:ascii="Arial" w:hAnsi="Arial" w:cs="Arial"/>
        </w:rPr>
        <w:t> </w:t>
      </w:r>
      <w:r w:rsidRPr="002245F9">
        <w:rPr>
          <w:rFonts w:ascii="Arial" w:hAnsi="Arial" w:cs="Arial"/>
        </w:rPr>
        <w:t>podrozdziałach 9.1 i 9.2.</w:t>
      </w:r>
    </w:p>
    <w:p w14:paraId="0395243D" w14:textId="77777777" w:rsidR="00115B39" w:rsidRPr="00C919AD" w:rsidRDefault="00115B39" w:rsidP="00C57D65">
      <w:pPr>
        <w:pStyle w:val="Nagwek2"/>
      </w:pPr>
      <w:bookmarkStart w:id="302" w:name="_Toc402949631"/>
      <w:bookmarkStart w:id="303" w:name="_Toc402949715"/>
      <w:bookmarkStart w:id="304" w:name="_Toc402949759"/>
      <w:bookmarkStart w:id="305" w:name="_Toc402949972"/>
      <w:bookmarkStart w:id="306" w:name="_Toc402951175"/>
      <w:bookmarkStart w:id="307" w:name="_Toc109128037"/>
      <w:bookmarkStart w:id="308" w:name="_Toc110601991"/>
      <w:bookmarkStart w:id="309" w:name="_Toc382570651"/>
      <w:bookmarkEnd w:id="302"/>
      <w:bookmarkEnd w:id="303"/>
      <w:bookmarkEnd w:id="304"/>
      <w:bookmarkEnd w:id="305"/>
      <w:bookmarkEnd w:id="306"/>
      <w:r w:rsidRPr="00C919AD">
        <w:t xml:space="preserve">Podrozdział 9.3 Stosowanie uproszczonych metod rozliczania </w:t>
      </w:r>
      <w:r>
        <w:t>wydatków</w:t>
      </w:r>
      <w:bookmarkEnd w:id="307"/>
      <w:bookmarkEnd w:id="308"/>
      <w:r w:rsidRPr="00C919AD">
        <w:t xml:space="preserve"> </w:t>
      </w:r>
    </w:p>
    <w:bookmarkEnd w:id="309"/>
    <w:p w14:paraId="0B9BDF04" w14:textId="637C4487" w:rsidR="00115B39" w:rsidRPr="002245F9" w:rsidRDefault="00115B39" w:rsidP="00115B39">
      <w:pPr>
        <w:pStyle w:val="Akapitzlist"/>
        <w:numPr>
          <w:ilvl w:val="0"/>
          <w:numId w:val="21"/>
        </w:numPr>
        <w:spacing w:before="120" w:after="120" w:line="360" w:lineRule="auto"/>
        <w:ind w:left="357" w:hanging="357"/>
        <w:contextualSpacing w:val="0"/>
        <w:rPr>
          <w:rFonts w:cs="Arial"/>
        </w:rPr>
      </w:pPr>
      <w:r w:rsidRPr="002245F9">
        <w:rPr>
          <w:rFonts w:cs="Arial"/>
          <w:color w:val="000000"/>
        </w:rPr>
        <w:t xml:space="preserve">W celu zmniejszenia obciążeń administracyjnych rekomendowane jest stosowanie uproszczonych metod </w:t>
      </w:r>
      <w:r w:rsidR="003F154A">
        <w:rPr>
          <w:rFonts w:cs="Arial"/>
          <w:color w:val="000000"/>
        </w:rPr>
        <w:t>rozliczania wydatków</w:t>
      </w:r>
      <w:r w:rsidRPr="002245F9">
        <w:rPr>
          <w:rFonts w:cs="Arial"/>
          <w:color w:val="000000"/>
        </w:rPr>
        <w:t xml:space="preserve">, zwłaszcza w odniesieniu do kosztów pośrednich. </w:t>
      </w:r>
      <w:r w:rsidRPr="00F05DC8">
        <w:rPr>
          <w:rFonts w:cs="Arial"/>
          <w:color w:val="000000"/>
        </w:rPr>
        <w:t>Możliwe jest rozliczanie kosztów bezpośrednich metodami uproszczonymi.</w:t>
      </w:r>
    </w:p>
    <w:p w14:paraId="75C743AD" w14:textId="7B319B3F" w:rsidR="00115B39" w:rsidRPr="002245F9" w:rsidRDefault="00115B39" w:rsidP="00115B39">
      <w:pPr>
        <w:pStyle w:val="Akapitzlist"/>
        <w:numPr>
          <w:ilvl w:val="0"/>
          <w:numId w:val="21"/>
        </w:numPr>
        <w:spacing w:before="120" w:after="120" w:line="360" w:lineRule="auto"/>
        <w:ind w:left="357" w:hanging="357"/>
        <w:contextualSpacing w:val="0"/>
        <w:rPr>
          <w:rFonts w:cs="Arial"/>
        </w:rPr>
      </w:pPr>
      <w:r w:rsidRPr="002245F9">
        <w:rPr>
          <w:rFonts w:cs="Arial"/>
        </w:rPr>
        <w:lastRenderedPageBreak/>
        <w:t xml:space="preserve">Wybór najbardziej odpowiedniej metody </w:t>
      </w:r>
      <w:r w:rsidR="006B0231" w:rsidRPr="002245F9">
        <w:rPr>
          <w:rFonts w:cs="Arial"/>
        </w:rPr>
        <w:t>rozliczania</w:t>
      </w:r>
      <w:r w:rsidR="006B0231">
        <w:rPr>
          <w:rFonts w:cs="Arial"/>
        </w:rPr>
        <w:t xml:space="preserve"> </w:t>
      </w:r>
      <w:r w:rsidR="003F154A">
        <w:rPr>
          <w:rFonts w:cs="Arial"/>
        </w:rPr>
        <w:t>(</w:t>
      </w:r>
      <w:r w:rsidR="00A5009D">
        <w:rPr>
          <w:rFonts w:cs="Arial"/>
        </w:rPr>
        <w:t xml:space="preserve">zastosowanie </w:t>
      </w:r>
      <w:r w:rsidR="003F154A">
        <w:t>stawki jednostkowe</w:t>
      </w:r>
      <w:r w:rsidR="00A5009D">
        <w:t>j</w:t>
      </w:r>
      <w:r w:rsidR="003F154A">
        <w:t>, kwoty ryczałtowe</w:t>
      </w:r>
      <w:r w:rsidR="00A5009D">
        <w:t>j</w:t>
      </w:r>
      <w:r w:rsidR="003F154A">
        <w:t xml:space="preserve"> lub stawki ryczałtowe</w:t>
      </w:r>
      <w:r w:rsidR="00A5009D">
        <w:t>j</w:t>
      </w:r>
      <w:r w:rsidR="003F154A">
        <w:rPr>
          <w:rFonts w:cs="Arial"/>
        </w:rPr>
        <w:t xml:space="preserve">) </w:t>
      </w:r>
      <w:r w:rsidRPr="002245F9">
        <w:rPr>
          <w:rFonts w:cs="Arial"/>
        </w:rPr>
        <w:t>leży w gestii odpowiedniej IZ.</w:t>
      </w:r>
    </w:p>
    <w:p w14:paraId="787C3446" w14:textId="77777777" w:rsidR="00115B39" w:rsidRPr="002245F9" w:rsidRDefault="00115B39" w:rsidP="00115B39">
      <w:pPr>
        <w:pStyle w:val="Akapitzlist"/>
        <w:numPr>
          <w:ilvl w:val="0"/>
          <w:numId w:val="21"/>
        </w:numPr>
        <w:spacing w:before="120" w:after="120" w:line="360" w:lineRule="auto"/>
        <w:ind w:left="357" w:hanging="357"/>
        <w:contextualSpacing w:val="0"/>
        <w:rPr>
          <w:rFonts w:cs="Arial"/>
        </w:rPr>
      </w:pPr>
      <w:bookmarkStart w:id="310" w:name="_Hlk109046756"/>
      <w:r w:rsidRPr="002245F9">
        <w:rPr>
          <w:rFonts w:cs="Arial"/>
        </w:rPr>
        <w:t xml:space="preserve">Zgodnie z zasadą przejrzystości i równego traktowania przyjęty przez daną IZ sposób rozliczania projektów za pomocą uproszczonych metod powinien zostać opublikowany i ogłoszony wszystkim beneficjentom najpóźniej w momencie rozpoczęcia naboru </w:t>
      </w:r>
      <w:r>
        <w:rPr>
          <w:rFonts w:cs="Arial"/>
        </w:rPr>
        <w:t>np</w:t>
      </w:r>
      <w:r w:rsidRPr="002245F9">
        <w:rPr>
          <w:rFonts w:cs="Arial"/>
        </w:rPr>
        <w:t>. w ogłoszeniu o naborze.</w:t>
      </w:r>
    </w:p>
    <w:bookmarkEnd w:id="310"/>
    <w:p w14:paraId="4FEE63BB" w14:textId="43BB56FC" w:rsidR="00115B39" w:rsidRPr="002245F9" w:rsidRDefault="00115B39" w:rsidP="00115B39">
      <w:pPr>
        <w:pStyle w:val="Akapitzlist"/>
        <w:numPr>
          <w:ilvl w:val="0"/>
          <w:numId w:val="21"/>
        </w:numPr>
        <w:spacing w:before="120" w:after="120" w:line="360" w:lineRule="auto"/>
        <w:ind w:left="357" w:hanging="357"/>
        <w:contextualSpacing w:val="0"/>
        <w:rPr>
          <w:rFonts w:cs="Arial"/>
        </w:rPr>
      </w:pPr>
      <w:r w:rsidRPr="002245F9">
        <w:rPr>
          <w:rFonts w:cs="Arial"/>
        </w:rPr>
        <w:t>Jeżeli do rozliczania projektu będzie stosowany podział na koszty bezpośrednie i</w:t>
      </w:r>
      <w:r>
        <w:rPr>
          <w:rFonts w:cs="Arial"/>
        </w:rPr>
        <w:t> </w:t>
      </w:r>
      <w:r w:rsidRPr="002245F9">
        <w:rPr>
          <w:rFonts w:cs="Arial"/>
        </w:rPr>
        <w:t xml:space="preserve">pośrednie to szczegółowe katalogi definiujące </w:t>
      </w:r>
      <w:r w:rsidR="00E14FBF">
        <w:rPr>
          <w:rFonts w:cs="Arial"/>
        </w:rPr>
        <w:t xml:space="preserve">m.in. </w:t>
      </w:r>
      <w:r w:rsidRPr="002245F9">
        <w:rPr>
          <w:rFonts w:cs="Arial"/>
        </w:rPr>
        <w:t xml:space="preserve">koszty bezpośrednie </w:t>
      </w:r>
      <w:r w:rsidR="006755E8" w:rsidRPr="002245F9">
        <w:rPr>
          <w:rFonts w:cs="Arial"/>
        </w:rPr>
        <w:t>i</w:t>
      </w:r>
      <w:r w:rsidR="006755E8">
        <w:rPr>
          <w:rFonts w:cs="Arial"/>
        </w:rPr>
        <w:t> </w:t>
      </w:r>
      <w:r w:rsidRPr="002245F9">
        <w:rPr>
          <w:rFonts w:cs="Arial"/>
        </w:rPr>
        <w:t xml:space="preserve">pośrednie powinny zostać określone przez daną </w:t>
      </w:r>
      <w:r w:rsidRPr="00842509">
        <w:rPr>
          <w:rFonts w:cs="Arial"/>
        </w:rPr>
        <w:t>IZ</w:t>
      </w:r>
      <w:r w:rsidRPr="002245F9">
        <w:rPr>
          <w:rFonts w:cs="Arial"/>
        </w:rPr>
        <w:t xml:space="preserve"> oraz opublikowane </w:t>
      </w:r>
      <w:r w:rsidR="006755E8" w:rsidRPr="002245F9">
        <w:rPr>
          <w:rFonts w:cs="Arial"/>
        </w:rPr>
        <w:t>i</w:t>
      </w:r>
      <w:r w:rsidR="006755E8">
        <w:rPr>
          <w:rFonts w:cs="Arial"/>
        </w:rPr>
        <w:t> </w:t>
      </w:r>
      <w:r w:rsidRPr="002245F9">
        <w:rPr>
          <w:rFonts w:cs="Arial"/>
        </w:rPr>
        <w:t xml:space="preserve">ogłoszone wszystkim beneficjentom najpóźniej w momencie rozpoczęcia naboru </w:t>
      </w:r>
      <w:r>
        <w:rPr>
          <w:rFonts w:cs="Arial"/>
        </w:rPr>
        <w:t>np</w:t>
      </w:r>
      <w:r w:rsidRPr="002245F9">
        <w:rPr>
          <w:rFonts w:cs="Arial"/>
        </w:rPr>
        <w:t>. w ogłoszeniu o naborze.</w:t>
      </w:r>
    </w:p>
    <w:p w14:paraId="0774D1FB" w14:textId="77777777" w:rsidR="00115B39" w:rsidRPr="002245F9" w:rsidRDefault="00115B39" w:rsidP="00115B39">
      <w:pPr>
        <w:pStyle w:val="Akapitzlist"/>
        <w:numPr>
          <w:ilvl w:val="0"/>
          <w:numId w:val="21"/>
        </w:numPr>
        <w:spacing w:before="120" w:after="120" w:line="360" w:lineRule="auto"/>
        <w:ind w:left="357" w:hanging="357"/>
        <w:contextualSpacing w:val="0"/>
        <w:rPr>
          <w:rFonts w:cs="Arial"/>
        </w:rPr>
      </w:pPr>
      <w:r w:rsidRPr="004D7E8E">
        <w:rPr>
          <w:rFonts w:cs="Arial"/>
        </w:rPr>
        <w:t>Zdefiniowane katalogi możliwych do sfi</w:t>
      </w:r>
      <w:r>
        <w:rPr>
          <w:rFonts w:cs="Arial"/>
        </w:rPr>
        <w:t>n</w:t>
      </w:r>
      <w:r w:rsidRPr="004D7E8E">
        <w:rPr>
          <w:rFonts w:cs="Arial"/>
        </w:rPr>
        <w:t>ansowania wydatków pośrednich i</w:t>
      </w:r>
      <w:r>
        <w:rPr>
          <w:rFonts w:cs="Arial"/>
        </w:rPr>
        <w:t> </w:t>
      </w:r>
      <w:r w:rsidRPr="004D7E8E">
        <w:rPr>
          <w:rFonts w:cs="Arial"/>
        </w:rPr>
        <w:t xml:space="preserve">bezpośrednich mogą obejmować wydatki określone w </w:t>
      </w:r>
      <w:r>
        <w:rPr>
          <w:rFonts w:cs="Arial"/>
        </w:rPr>
        <w:t xml:space="preserve">sekcji </w:t>
      </w:r>
      <w:r w:rsidRPr="004D7E8E">
        <w:rPr>
          <w:rFonts w:cs="Arial"/>
        </w:rPr>
        <w:t>9.1.1 jako kwalifikowalne i nie mogą obejmowa</w:t>
      </w:r>
      <w:r>
        <w:rPr>
          <w:rFonts w:cs="Arial"/>
        </w:rPr>
        <w:t>ć</w:t>
      </w:r>
      <w:r w:rsidRPr="004D7E8E">
        <w:rPr>
          <w:rFonts w:cs="Arial"/>
        </w:rPr>
        <w:t xml:space="preserve"> wskazanych jako niekwalifikowalne</w:t>
      </w:r>
      <w:r>
        <w:rPr>
          <w:rFonts w:cs="Arial"/>
        </w:rPr>
        <w:t>.</w:t>
      </w:r>
    </w:p>
    <w:p w14:paraId="27A843E1" w14:textId="77777777" w:rsidR="00115B39" w:rsidRPr="002245F9" w:rsidRDefault="00115B39" w:rsidP="00115B39">
      <w:pPr>
        <w:pStyle w:val="Akapitzlist"/>
        <w:numPr>
          <w:ilvl w:val="0"/>
          <w:numId w:val="21"/>
        </w:numPr>
        <w:spacing w:before="120" w:after="120" w:line="360" w:lineRule="auto"/>
        <w:ind w:left="357" w:hanging="357"/>
        <w:contextualSpacing w:val="0"/>
        <w:rPr>
          <w:rFonts w:cs="Arial"/>
          <w:color w:val="000000"/>
        </w:rPr>
      </w:pPr>
      <w:r w:rsidRPr="002245F9">
        <w:rPr>
          <w:rFonts w:cs="Arial"/>
          <w:color w:val="000000"/>
        </w:rPr>
        <w:t xml:space="preserve">W przypadku gdy całkowity koszt operacji nie przekracza kwoty 200 000 EUR, cały wkład przyznany beneficjentowi z EFRR i EFS+ przyjmuje </w:t>
      </w:r>
      <w:r w:rsidRPr="00D76201">
        <w:rPr>
          <w:rFonts w:cs="Arial"/>
          <w:color w:val="000000"/>
        </w:rPr>
        <w:t xml:space="preserve">formę </w:t>
      </w:r>
      <w:r w:rsidRPr="007C47BC">
        <w:rPr>
          <w:rFonts w:cs="Arial"/>
          <w:color w:val="000000"/>
        </w:rPr>
        <w:t>kosztu uproszczonego</w:t>
      </w:r>
      <w:r w:rsidRPr="00D76201">
        <w:rPr>
          <w:rFonts w:cs="Arial"/>
          <w:color w:val="000000"/>
        </w:rPr>
        <w:t xml:space="preserve">. </w:t>
      </w:r>
      <w:r w:rsidRPr="0036452A">
        <w:rPr>
          <w:rFonts w:cs="Arial"/>
          <w:color w:val="000000"/>
        </w:rPr>
        <w:t xml:space="preserve">Stosowanie </w:t>
      </w:r>
      <w:r w:rsidRPr="007C47BC">
        <w:rPr>
          <w:rFonts w:cs="Arial"/>
          <w:color w:val="000000"/>
        </w:rPr>
        <w:t>uproszczonych form kosztów</w:t>
      </w:r>
      <w:r w:rsidRPr="00102059">
        <w:rPr>
          <w:rFonts w:cs="Arial"/>
          <w:color w:val="000000"/>
        </w:rPr>
        <w:t xml:space="preserve"> jest w tym przypadku obowiązkowe.</w:t>
      </w:r>
    </w:p>
    <w:p w14:paraId="7D40E354" w14:textId="77777777" w:rsidR="00115B39" w:rsidRPr="007A0FA9" w:rsidRDefault="00115B39" w:rsidP="00115B39">
      <w:pPr>
        <w:pStyle w:val="Akapitzlist"/>
        <w:numPr>
          <w:ilvl w:val="0"/>
          <w:numId w:val="21"/>
        </w:numPr>
        <w:spacing w:before="120" w:after="120" w:line="360" w:lineRule="auto"/>
        <w:ind w:left="357" w:hanging="357"/>
        <w:contextualSpacing w:val="0"/>
        <w:rPr>
          <w:rFonts w:cs="Arial"/>
          <w:color w:val="000000"/>
        </w:rPr>
      </w:pPr>
      <w:r w:rsidRPr="007A0FA9">
        <w:rPr>
          <w:rFonts w:cs="Arial"/>
          <w:color w:val="000000"/>
        </w:rPr>
        <w:t xml:space="preserve">W przypadku stosowania finansowania według stawek ryczałtowych, kategorie kosztów, w odniesieniu do których stosuje się daną stawkę ryczałtową, mogą zostać rozliczone na podstawie kosztów faktycznie poniesionych (rzeczywistych). </w:t>
      </w:r>
    </w:p>
    <w:p w14:paraId="3D5E107E" w14:textId="77777777" w:rsidR="00115B39" w:rsidRDefault="00115B39" w:rsidP="00115B39">
      <w:pPr>
        <w:pStyle w:val="Akapitzlist"/>
        <w:numPr>
          <w:ilvl w:val="0"/>
          <w:numId w:val="21"/>
        </w:numPr>
        <w:spacing w:before="120" w:after="120" w:line="360" w:lineRule="auto"/>
        <w:ind w:left="357" w:hanging="357"/>
        <w:contextualSpacing w:val="0"/>
        <w:rPr>
          <w:rFonts w:cs="Arial"/>
          <w:color w:val="000000"/>
        </w:rPr>
      </w:pPr>
      <w:r w:rsidRPr="002245F9">
        <w:rPr>
          <w:rFonts w:cs="Arial"/>
          <w:color w:val="000000"/>
        </w:rPr>
        <w:t>Rozliczenie wydatków na podstawie metod uproszczonych nie wyłącza stosowania zasad ogólnych określonych w Rozdziale 9.1.</w:t>
      </w:r>
    </w:p>
    <w:p w14:paraId="3943784C" w14:textId="77777777" w:rsidR="00115B39" w:rsidRDefault="00115B39" w:rsidP="00115B39">
      <w:pPr>
        <w:rPr>
          <w:rFonts w:cs="Arial"/>
        </w:rPr>
      </w:pPr>
      <w:r>
        <w:rPr>
          <w:rFonts w:cs="Arial"/>
        </w:rPr>
        <w:br w:type="page"/>
      </w:r>
    </w:p>
    <w:p w14:paraId="6C6AD7B2" w14:textId="77777777" w:rsidR="00115B39" w:rsidRPr="008B7682" w:rsidRDefault="00115B39">
      <w:pPr>
        <w:pStyle w:val="Nagwek1"/>
      </w:pPr>
      <w:bookmarkStart w:id="311" w:name="_Toc109128038"/>
      <w:bookmarkStart w:id="312" w:name="_Toc110601992"/>
      <w:r w:rsidRPr="008B7682">
        <w:lastRenderedPageBreak/>
        <w:t>Załączniki</w:t>
      </w:r>
      <w:bookmarkEnd w:id="311"/>
      <w:bookmarkEnd w:id="312"/>
    </w:p>
    <w:p w14:paraId="59E1AA91" w14:textId="77777777" w:rsidR="00115B39" w:rsidRPr="007A0FA9" w:rsidRDefault="00115B39" w:rsidP="00115B39">
      <w:pPr>
        <w:pStyle w:val="Default"/>
        <w:ind w:left="0"/>
        <w:rPr>
          <w:rFonts w:ascii="Arial" w:hAnsi="Arial" w:cs="Arial"/>
          <w:lang w:eastAsia="pl-PL"/>
        </w:rPr>
      </w:pPr>
      <w:r w:rsidRPr="007A0FA9">
        <w:rPr>
          <w:rFonts w:ascii="Arial" w:hAnsi="Arial"/>
        </w:rPr>
        <w:t>Załącznik 1</w:t>
      </w:r>
      <w:r>
        <w:rPr>
          <w:rFonts w:ascii="Arial" w:hAnsi="Arial"/>
        </w:rPr>
        <w:t>.</w:t>
      </w:r>
      <w:r w:rsidRPr="007A0FA9">
        <w:rPr>
          <w:rFonts w:ascii="Arial" w:hAnsi="Arial"/>
        </w:rPr>
        <w:t xml:space="preserve"> </w:t>
      </w:r>
      <w:r w:rsidRPr="007A0FA9">
        <w:rPr>
          <w:rFonts w:ascii="Arial" w:hAnsi="Arial" w:cs="Arial"/>
          <w:lang w:eastAsia="pl-PL"/>
        </w:rPr>
        <w:t xml:space="preserve">Wzór zestawienia wydatków na wynagrodzenia stanowisk pracy rozliczanych w ramach kosztów bezpośrednich </w:t>
      </w:r>
    </w:p>
    <w:p w14:paraId="26758F63" w14:textId="2AE67F55" w:rsidR="001D6AF8" w:rsidRPr="001D6AF8" w:rsidRDefault="00115B39" w:rsidP="00115B39">
      <w:pPr>
        <w:spacing w:before="120" w:after="120" w:line="360" w:lineRule="auto"/>
      </w:pPr>
      <w:r w:rsidRPr="007A0FA9">
        <w:t>Załącznik 2</w:t>
      </w:r>
      <w:r>
        <w:t xml:space="preserve">. </w:t>
      </w:r>
      <w:r w:rsidRPr="007A0FA9">
        <w:t xml:space="preserve">Linia demarkacyjna pomiędzy PT FE a priorytetami </w:t>
      </w:r>
    </w:p>
    <w:p w14:paraId="38B0C896" w14:textId="0D524708" w:rsidR="00666693" w:rsidRDefault="00666693">
      <w:pPr>
        <w:rPr>
          <w:rFonts w:cs="Arial"/>
          <w:szCs w:val="20"/>
        </w:rPr>
      </w:pPr>
    </w:p>
    <w:sectPr w:rsidR="00666693" w:rsidSect="00764F73">
      <w:footerReference w:type="even" r:id="rId12"/>
      <w:footerReference w:type="default" r:id="rId13"/>
      <w:footerReference w:type="first" r:id="rId14"/>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0256" w14:textId="77777777" w:rsidR="005753E1" w:rsidRDefault="005753E1">
      <w:r>
        <w:separator/>
      </w:r>
    </w:p>
    <w:p w14:paraId="2A8178A8" w14:textId="77777777" w:rsidR="005753E1" w:rsidRDefault="005753E1"/>
    <w:p w14:paraId="43FE8F96" w14:textId="77777777" w:rsidR="005753E1" w:rsidRDefault="005753E1" w:rsidP="008E1B26"/>
  </w:endnote>
  <w:endnote w:type="continuationSeparator" w:id="0">
    <w:p w14:paraId="374E8B45" w14:textId="77777777" w:rsidR="005753E1" w:rsidRDefault="005753E1">
      <w:r>
        <w:continuationSeparator/>
      </w:r>
    </w:p>
    <w:p w14:paraId="5B41A497" w14:textId="77777777" w:rsidR="005753E1" w:rsidRDefault="005753E1"/>
    <w:p w14:paraId="00541C7C" w14:textId="77777777" w:rsidR="005753E1" w:rsidRDefault="005753E1"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Arial"/>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TE278EC8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C133" w14:textId="648067A7" w:rsidR="00C9356A" w:rsidRDefault="00177D1F"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3C48E67" w14:textId="77777777" w:rsidR="00C9356A" w:rsidRDefault="005753E1">
    <w:pPr>
      <w:pStyle w:val="Stopka"/>
    </w:pPr>
  </w:p>
  <w:p w14:paraId="682511BE" w14:textId="77777777" w:rsidR="00A261F9" w:rsidRDefault="00A261F9"/>
  <w:p w14:paraId="04BDA025" w14:textId="77777777" w:rsidR="00A261F9" w:rsidRDefault="00A261F9"/>
  <w:p w14:paraId="466DA768" w14:textId="77777777" w:rsidR="00D314A3" w:rsidRDefault="00D314A3"/>
  <w:p w14:paraId="1DCB924E" w14:textId="77777777" w:rsidR="00D314A3" w:rsidRDefault="00D314A3" w:rsidP="008E1B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437216"/>
      <w:docPartObj>
        <w:docPartGallery w:val="Page Numbers (Bottom of Page)"/>
        <w:docPartUnique/>
      </w:docPartObj>
    </w:sdtPr>
    <w:sdtEndPr/>
    <w:sdtContent>
      <w:p w14:paraId="7742B8BE" w14:textId="7C1ED6CB" w:rsidR="00D314A3" w:rsidRDefault="007C533C" w:rsidP="00666693">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AA3A" w14:textId="4458B522" w:rsidR="008E1B26" w:rsidRDefault="008E1B2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711A" w14:textId="77777777" w:rsidR="005753E1" w:rsidRDefault="005753E1" w:rsidP="008E1B26">
      <w:r>
        <w:separator/>
      </w:r>
    </w:p>
  </w:footnote>
  <w:footnote w:type="continuationSeparator" w:id="0">
    <w:p w14:paraId="6DD868FF" w14:textId="77777777" w:rsidR="005753E1" w:rsidRDefault="005753E1">
      <w:r>
        <w:continuationSeparator/>
      </w:r>
    </w:p>
    <w:p w14:paraId="2240ED62" w14:textId="77777777" w:rsidR="005753E1" w:rsidRDefault="005753E1"/>
    <w:p w14:paraId="2FDF8E10" w14:textId="77777777" w:rsidR="005753E1" w:rsidRDefault="005753E1" w:rsidP="008E1B26"/>
  </w:footnote>
  <w:footnote w:id="1">
    <w:p w14:paraId="25919E18" w14:textId="77777777" w:rsidR="00F36DB4" w:rsidRPr="00CB6AB7" w:rsidRDefault="00F36DB4" w:rsidP="00D57A79">
      <w:pPr>
        <w:pStyle w:val="Tekstprzypisudolnego"/>
        <w:spacing w:line="360" w:lineRule="auto"/>
        <w:rPr>
          <w:rFonts w:cs="Arial"/>
        </w:rPr>
      </w:pPr>
      <w:r w:rsidRPr="00CB6AB7">
        <w:rPr>
          <w:rStyle w:val="Odwoanieprzypisudolnego"/>
          <w:rFonts w:cs="Arial"/>
        </w:rPr>
        <w:footnoteRef/>
      </w:r>
      <w:r w:rsidRPr="00CB6AB7">
        <w:rPr>
          <w:rFonts w:cs="Arial"/>
          <w:bCs/>
        </w:rPr>
        <w:t xml:space="preserve"> Wszczęcie postępowania jest tożsame z publikacją zapytania ofertowego, o którym mowa w</w:t>
      </w:r>
      <w:r>
        <w:rPr>
          <w:rFonts w:cs="Arial"/>
          <w:bCs/>
        </w:rPr>
        <w:t> </w:t>
      </w:r>
      <w:r w:rsidRPr="00CB6AB7">
        <w:rPr>
          <w:rFonts w:cs="Arial"/>
          <w:bCs/>
        </w:rPr>
        <w:t xml:space="preserve">sekcji 3.2.3 </w:t>
      </w:r>
      <w:r w:rsidRPr="00CB6AB7">
        <w:rPr>
          <w:rFonts w:cs="Arial"/>
        </w:rPr>
        <w:t>Wytycznych dotyczących kwalifikowalności.</w:t>
      </w:r>
    </w:p>
  </w:footnote>
  <w:footnote w:id="2">
    <w:p w14:paraId="162713A8" w14:textId="21180716" w:rsidR="00115B39" w:rsidRPr="00CB6AB7" w:rsidRDefault="00115B39" w:rsidP="00115B39">
      <w:pPr>
        <w:pStyle w:val="Tekstprzypisudolnego"/>
        <w:spacing w:line="360" w:lineRule="auto"/>
        <w:rPr>
          <w:rFonts w:cs="Arial"/>
        </w:rPr>
      </w:pPr>
      <w:r w:rsidRPr="00CB6AB7">
        <w:rPr>
          <w:rStyle w:val="Odwoanieprzypisudolnego"/>
          <w:rFonts w:cs="Arial"/>
        </w:rPr>
        <w:footnoteRef/>
      </w:r>
      <w:r w:rsidRPr="00CB6AB7">
        <w:rPr>
          <w:rFonts w:cs="Arial"/>
        </w:rPr>
        <w:t xml:space="preserve"> Możliwe jest finansowanie wydatków dotyczących działań CEF spełniających zasady kwalifikowalności w ramach danego programu, o ile nie jest możliwe ich finansowanie z pomocy technicznej CEF.</w:t>
      </w:r>
    </w:p>
  </w:footnote>
  <w:footnote w:id="3">
    <w:p w14:paraId="7429DBA9" w14:textId="68680EB1" w:rsidR="00115B39" w:rsidRPr="00FD3168" w:rsidRDefault="00115B39" w:rsidP="007C47BC">
      <w:pPr>
        <w:pStyle w:val="Tekstprzypisudolnego"/>
        <w:spacing w:after="120" w:line="360" w:lineRule="auto"/>
        <w:rPr>
          <w:rFonts w:cs="Arial"/>
        </w:rPr>
      </w:pPr>
      <w:r w:rsidRPr="00FD3168">
        <w:rPr>
          <w:rStyle w:val="Odwoanieprzypisudolnego"/>
          <w:rFonts w:cs="Arial"/>
        </w:rPr>
        <w:footnoteRef/>
      </w:r>
      <w:r w:rsidRPr="00FD3168">
        <w:rPr>
          <w:rFonts w:cs="Arial"/>
        </w:rPr>
        <w:t xml:space="preserve"> Zgodnie z Wytycznymi </w:t>
      </w:r>
      <w:r w:rsidR="00980F78">
        <w:rPr>
          <w:rFonts w:cs="Arial"/>
        </w:rPr>
        <w:t xml:space="preserve">dotyczącymi </w:t>
      </w:r>
      <w:r w:rsidRPr="00FD3168">
        <w:rPr>
          <w:rFonts w:cs="Arial"/>
        </w:rPr>
        <w:t>wyboru projektów na lata 2021-2027</w:t>
      </w:r>
    </w:p>
  </w:footnote>
  <w:footnote w:id="4">
    <w:p w14:paraId="26E8709C" w14:textId="77777777" w:rsidR="00115B39" w:rsidRPr="00A2535C" w:rsidRDefault="00115B39" w:rsidP="007C47BC">
      <w:pPr>
        <w:spacing w:after="120" w:line="360" w:lineRule="auto"/>
        <w:rPr>
          <w:rFonts w:cs="Arial"/>
          <w:sz w:val="20"/>
          <w:szCs w:val="20"/>
        </w:rPr>
      </w:pPr>
      <w:r w:rsidRPr="00A2535C">
        <w:rPr>
          <w:rStyle w:val="Odwoanieprzypisudolnego"/>
          <w:rFonts w:cs="Arial"/>
          <w:sz w:val="20"/>
          <w:szCs w:val="20"/>
        </w:rPr>
        <w:footnoteRef/>
      </w:r>
      <w:r w:rsidRPr="00A2535C">
        <w:rPr>
          <w:rFonts w:cs="Arial"/>
          <w:sz w:val="20"/>
          <w:szCs w:val="20"/>
        </w:rPr>
        <w:t xml:space="preserve"> Bez uszczerbku dla art. 190 ustawy z dnia 27 sierpnia 2009 r. o finansach publicznych.</w:t>
      </w:r>
    </w:p>
  </w:footnote>
  <w:footnote w:id="5">
    <w:p w14:paraId="3E34D78E" w14:textId="3E3DAC54" w:rsidR="00115B39" w:rsidRPr="00A2535C" w:rsidRDefault="00115B39" w:rsidP="007C47BC">
      <w:pPr>
        <w:pStyle w:val="Tekstprzypisudolnego"/>
        <w:spacing w:after="120" w:line="360" w:lineRule="auto"/>
        <w:rPr>
          <w:rFonts w:cs="Arial"/>
        </w:rPr>
      </w:pPr>
      <w:r w:rsidRPr="00A2535C">
        <w:rPr>
          <w:rStyle w:val="Odwoanieprzypisudolnego"/>
          <w:rFonts w:cs="Arial"/>
        </w:rPr>
        <w:footnoteRef/>
      </w:r>
      <w:r w:rsidRPr="00A2535C">
        <w:rPr>
          <w:rFonts w:cs="Arial"/>
        </w:rPr>
        <w:t xml:space="preserve"> Poprzez dni robocze rozumie się dni tygodnia od poniedziałku do piątku, z wyłączeniem dni</w:t>
      </w:r>
      <w:r w:rsidR="0019041F">
        <w:rPr>
          <w:rFonts w:cs="Arial"/>
        </w:rPr>
        <w:t xml:space="preserve"> </w:t>
      </w:r>
      <w:r w:rsidRPr="00A2535C">
        <w:rPr>
          <w:rFonts w:cs="Arial"/>
        </w:rPr>
        <w:t>ustawowo wolnych od pracy.</w:t>
      </w:r>
    </w:p>
  </w:footnote>
  <w:footnote w:id="6">
    <w:p w14:paraId="0C3E35FC" w14:textId="77777777" w:rsidR="00115B39" w:rsidRPr="00E95DC9" w:rsidRDefault="00115B39" w:rsidP="007C47BC">
      <w:pPr>
        <w:pStyle w:val="Tekstprzypisudolnego"/>
        <w:spacing w:after="120" w:line="360" w:lineRule="auto"/>
        <w:rPr>
          <w:rFonts w:cs="Arial"/>
          <w:sz w:val="18"/>
          <w:szCs w:val="18"/>
        </w:rPr>
      </w:pPr>
      <w:r w:rsidRPr="00A2535C">
        <w:rPr>
          <w:rStyle w:val="Odwoanieprzypisudolnego"/>
          <w:rFonts w:cs="Arial"/>
        </w:rPr>
        <w:footnoteRef/>
      </w:r>
      <w:r w:rsidRPr="00A2535C">
        <w:rPr>
          <w:rFonts w:cs="Arial"/>
        </w:rPr>
        <w:t xml:space="preserve"> Bez uszczerbku dla art. 74 rozporządzenia ogólnego.</w:t>
      </w:r>
      <w:r w:rsidRPr="00E95DC9">
        <w:rPr>
          <w:rFonts w:cs="Arial"/>
          <w:sz w:val="18"/>
          <w:szCs w:val="18"/>
        </w:rPr>
        <w:t xml:space="preserve"> </w:t>
      </w:r>
    </w:p>
  </w:footnote>
  <w:footnote w:id="7">
    <w:p w14:paraId="49A9BE64" w14:textId="77777777" w:rsidR="00115B39" w:rsidRPr="00162471" w:rsidRDefault="00115B39" w:rsidP="00115B39">
      <w:pPr>
        <w:pStyle w:val="Tekstprzypisudolnego"/>
        <w:spacing w:line="360" w:lineRule="auto"/>
      </w:pPr>
      <w:r w:rsidRPr="00162471">
        <w:rPr>
          <w:rStyle w:val="Odwoanieprzypisudolnego"/>
          <w:rFonts w:cs="Arial"/>
        </w:rPr>
        <w:footnoteRef/>
      </w:r>
      <w:r w:rsidRPr="00162471">
        <w:rPr>
          <w:rFonts w:cs="Arial"/>
        </w:rPr>
        <w:t xml:space="preserve"> W przypadku regionalnych programów istnieje możliwość wykorzystania CST2021 do obsługi projektów pomocy technicznej.</w:t>
      </w:r>
    </w:p>
  </w:footnote>
  <w:footnote w:id="8">
    <w:p w14:paraId="0FF9E4DD" w14:textId="77777777" w:rsidR="00115B39" w:rsidRPr="0085059C" w:rsidRDefault="00115B39" w:rsidP="00115B39">
      <w:pPr>
        <w:pStyle w:val="Tekstprzypisudolnego"/>
        <w:rPr>
          <w:rFonts w:cs="Arial"/>
        </w:rPr>
      </w:pPr>
      <w:r w:rsidRPr="0085059C">
        <w:rPr>
          <w:rStyle w:val="Odwoanieprzypisudolnego"/>
          <w:rFonts w:cs="Arial"/>
        </w:rPr>
        <w:footnoteRef/>
      </w:r>
      <w:r w:rsidRPr="0085059C">
        <w:rPr>
          <w:rFonts w:cs="Arial"/>
        </w:rPr>
        <w:t xml:space="preserve"> Wyjątek stanowią wskaźniki: Liczba uczestników form szkoleniowych dla beneficjentów </w:t>
      </w:r>
    </w:p>
  </w:footnote>
  <w:footnote w:id="9">
    <w:p w14:paraId="00CDA04C" w14:textId="6535E25D" w:rsidR="00115B39" w:rsidRPr="00337563" w:rsidRDefault="00115B39" w:rsidP="007C47BC">
      <w:pPr>
        <w:spacing w:before="120" w:after="120" w:line="360" w:lineRule="auto"/>
        <w:rPr>
          <w:rFonts w:cs="Arial"/>
          <w:sz w:val="20"/>
          <w:szCs w:val="20"/>
        </w:rPr>
      </w:pPr>
      <w:r w:rsidRPr="00623053">
        <w:rPr>
          <w:rStyle w:val="Odwoanieprzypisudolnego"/>
          <w:rFonts w:cs="Arial"/>
          <w:sz w:val="20"/>
          <w:szCs w:val="20"/>
        </w:rPr>
        <w:footnoteRef/>
      </w:r>
      <w:r w:rsidRPr="00623053">
        <w:rPr>
          <w:rFonts w:cs="Arial"/>
          <w:sz w:val="20"/>
          <w:szCs w:val="20"/>
        </w:rPr>
        <w:t xml:space="preserve"> Wskaźnik „Średnioroczna liczba etatów finansowanych z pomocy technicznej”, który jest na LWK </w:t>
      </w:r>
      <w:r w:rsidR="00623053" w:rsidRPr="00623053">
        <w:rPr>
          <w:rFonts w:cs="Arial"/>
          <w:sz w:val="20"/>
          <w:szCs w:val="20"/>
        </w:rPr>
        <w:t>i</w:t>
      </w:r>
      <w:r w:rsidR="00623053">
        <w:rPr>
          <w:rFonts w:cs="Arial"/>
          <w:sz w:val="20"/>
          <w:szCs w:val="20"/>
        </w:rPr>
        <w:t> </w:t>
      </w:r>
      <w:r w:rsidRPr="00623053">
        <w:rPr>
          <w:rFonts w:cs="Arial"/>
          <w:sz w:val="20"/>
          <w:szCs w:val="20"/>
        </w:rPr>
        <w:t xml:space="preserve">został zapisany w PT FE jest wskaźnikiem monitorowanym w okresach rocznych w związku z tym będzie raportowany </w:t>
      </w:r>
      <w:r w:rsidRPr="00C57D65">
        <w:rPr>
          <w:rFonts w:cs="Arial"/>
          <w:sz w:val="20"/>
          <w:szCs w:val="20"/>
        </w:rPr>
        <w:t>z wartościami</w:t>
      </w:r>
      <w:r w:rsidRPr="00FF66C6">
        <w:rPr>
          <w:rFonts w:cs="Arial"/>
          <w:sz w:val="20"/>
          <w:szCs w:val="20"/>
        </w:rPr>
        <w:t xml:space="preserve"> „0” w kolejnych </w:t>
      </w:r>
      <w:r w:rsidRPr="00BC153D">
        <w:rPr>
          <w:rFonts w:cs="Arial"/>
          <w:sz w:val="20"/>
          <w:szCs w:val="20"/>
        </w:rPr>
        <w:t>wnioskach o płatność</w:t>
      </w:r>
      <w:r w:rsidRPr="001A694C">
        <w:rPr>
          <w:rFonts w:cs="Arial"/>
          <w:sz w:val="20"/>
          <w:szCs w:val="20"/>
        </w:rPr>
        <w:t xml:space="preserve">, aż do ostatniego – tj. we wniosku o płatność za IV kwartał roku będzie wpisywana osiągnięta wartość tego wskaźnika dla danego roku. </w:t>
      </w:r>
      <w:r w:rsidRPr="002A6ECA">
        <w:rPr>
          <w:rFonts w:cs="Arial"/>
          <w:sz w:val="20"/>
          <w:szCs w:val="20"/>
        </w:rPr>
        <w:t xml:space="preserve">W systemie CST2021 oraz </w:t>
      </w:r>
      <w:r w:rsidRPr="006C1A37">
        <w:rPr>
          <w:rFonts w:cs="Arial"/>
          <w:sz w:val="20"/>
          <w:szCs w:val="20"/>
        </w:rPr>
        <w:t>w sprawozdawczości do KE nie monitoruje się tego wskaźnika w okresach krótszych niż rok.</w:t>
      </w:r>
    </w:p>
    <w:p w14:paraId="6B8B24F3" w14:textId="0404251B" w:rsidR="00115B39" w:rsidRPr="007C47BC" w:rsidRDefault="00115B39" w:rsidP="007C47BC">
      <w:pPr>
        <w:spacing w:before="120" w:after="120" w:line="360" w:lineRule="auto"/>
        <w:rPr>
          <w:rFonts w:cs="Arial"/>
          <w:sz w:val="20"/>
          <w:szCs w:val="20"/>
        </w:rPr>
      </w:pPr>
      <w:r w:rsidRPr="00623053">
        <w:rPr>
          <w:rFonts w:cs="Arial"/>
          <w:sz w:val="20"/>
          <w:szCs w:val="20"/>
        </w:rPr>
        <w:t xml:space="preserve">W przypadku projektów wieloletnich rekomendujemy dodanie pomocniczo wskaźników projektowych własnych dla danego roku tj. „Średnioroczna liczba etatów finansowanych z pomocy technicznej” </w:t>
      </w:r>
      <w:r w:rsidR="00623053" w:rsidRPr="00623053">
        <w:rPr>
          <w:rFonts w:cs="Arial"/>
          <w:sz w:val="20"/>
          <w:szCs w:val="20"/>
        </w:rPr>
        <w:t>w</w:t>
      </w:r>
      <w:r w:rsidR="00623053">
        <w:rPr>
          <w:rFonts w:cs="Arial"/>
          <w:sz w:val="20"/>
          <w:szCs w:val="20"/>
        </w:rPr>
        <w:t> </w:t>
      </w:r>
      <w:r w:rsidRPr="00623053">
        <w:rPr>
          <w:rFonts w:cs="Arial"/>
          <w:sz w:val="20"/>
          <w:szCs w:val="20"/>
        </w:rPr>
        <w:t>2024 roku, Średnioroczna liczba etatów finansowanych z pomocy technicznej w 2025 roku itd.</w:t>
      </w:r>
      <w:r w:rsidRPr="00623053">
        <w:rPr>
          <w:rFonts w:cs="Arial"/>
          <w:i/>
          <w:iCs/>
          <w:sz w:val="20"/>
          <w:szCs w:val="20"/>
        </w:rPr>
        <w:t xml:space="preserve"> </w:t>
      </w:r>
      <w:r w:rsidRPr="00623053">
        <w:rPr>
          <w:rFonts w:cs="Arial"/>
          <w:sz w:val="20"/>
          <w:szCs w:val="20"/>
        </w:rPr>
        <w:t>dla każdego roku realizacji projektu. Wskaźniki pomocnicze będą monitorowane tylko w danym</w:t>
      </w:r>
      <w:r w:rsidRPr="00C57D65">
        <w:rPr>
          <w:rFonts w:cs="Arial"/>
          <w:sz w:val="20"/>
          <w:szCs w:val="20"/>
        </w:rPr>
        <w:t xml:space="preserve"> roku </w:t>
      </w:r>
      <w:r w:rsidR="00623053" w:rsidRPr="00623053">
        <w:rPr>
          <w:rFonts w:cs="Arial"/>
          <w:sz w:val="20"/>
          <w:szCs w:val="20"/>
        </w:rPr>
        <w:t>i</w:t>
      </w:r>
      <w:r w:rsidR="00623053">
        <w:rPr>
          <w:rFonts w:cs="Arial"/>
          <w:sz w:val="20"/>
          <w:szCs w:val="20"/>
        </w:rPr>
        <w:t> </w:t>
      </w:r>
      <w:r w:rsidR="00623053" w:rsidRPr="00623053">
        <w:rPr>
          <w:rFonts w:cs="Arial"/>
          <w:sz w:val="20"/>
          <w:szCs w:val="20"/>
        </w:rPr>
        <w:t>w</w:t>
      </w:r>
      <w:r w:rsidR="00623053">
        <w:rPr>
          <w:rFonts w:cs="Arial"/>
          <w:sz w:val="20"/>
          <w:szCs w:val="20"/>
        </w:rPr>
        <w:t> </w:t>
      </w:r>
      <w:r w:rsidRPr="00623053">
        <w:rPr>
          <w:rFonts w:cs="Arial"/>
          <w:sz w:val="20"/>
          <w:szCs w:val="20"/>
        </w:rPr>
        <w:t>ten sposób dane w systemie będą adekwatne</w:t>
      </w:r>
      <w:r w:rsidRPr="007C47BC">
        <w:rPr>
          <w:rFonts w:cs="Arial"/>
          <w:sz w:val="20"/>
          <w:szCs w:val="20"/>
        </w:rPr>
        <w:t xml:space="preserve">. </w:t>
      </w:r>
    </w:p>
    <w:p w14:paraId="541577F6" w14:textId="77777777" w:rsidR="00115B39" w:rsidRDefault="00115B39" w:rsidP="00115B39">
      <w:pPr>
        <w:pStyle w:val="Tekstprzypisudolnego"/>
      </w:pPr>
    </w:p>
  </w:footnote>
  <w:footnote w:id="10">
    <w:p w14:paraId="56A7FD25" w14:textId="77777777" w:rsidR="00115B39" w:rsidRPr="007F4F77" w:rsidRDefault="00115B39" w:rsidP="00115B39">
      <w:pPr>
        <w:pStyle w:val="Tekstprzypisudolnego"/>
        <w:spacing w:line="360" w:lineRule="auto"/>
        <w:rPr>
          <w:rFonts w:cs="Arial"/>
          <w:sz w:val="18"/>
          <w:szCs w:val="18"/>
        </w:rPr>
      </w:pPr>
      <w:r>
        <w:rPr>
          <w:rStyle w:val="Odwoanieprzypisudolnego"/>
        </w:rPr>
        <w:footnoteRef/>
      </w:r>
      <w:r>
        <w:t xml:space="preserve"> </w:t>
      </w:r>
      <w:r w:rsidRPr="00BA7CDD">
        <w:rPr>
          <w:rFonts w:cs="Arial"/>
        </w:rPr>
        <w:t>Siła wyższa jest definiowana jako zdarzenie zewnętrzne, niemożliwe (lub prawie niemożliwe) do przewidzenia, którego skutkom nie można zapobiec, np. powodzie, pożary, wybuchy wulkanów, zamieszki, strajki.</w:t>
      </w:r>
    </w:p>
  </w:footnote>
  <w:footnote w:id="11">
    <w:p w14:paraId="05A75A0C" w14:textId="77777777" w:rsidR="00115B39" w:rsidRPr="007B6791" w:rsidRDefault="00115B39" w:rsidP="00115B39">
      <w:pPr>
        <w:pStyle w:val="Tekstprzypisudolnego"/>
        <w:spacing w:line="360" w:lineRule="auto"/>
        <w:rPr>
          <w:sz w:val="18"/>
          <w:szCs w:val="18"/>
        </w:rPr>
      </w:pPr>
      <w:r w:rsidRPr="00ED6B22">
        <w:rPr>
          <w:rStyle w:val="Odwoanieprzypisudolnego"/>
          <w:rFonts w:cs="Arial"/>
        </w:rPr>
        <w:footnoteRef/>
      </w:r>
      <w:r w:rsidRPr="00ED6B22">
        <w:rPr>
          <w:rFonts w:cs="Arial"/>
        </w:rPr>
        <w:t xml:space="preserve"> Termin długotrwałego zwolnienia lekarskiego w tym przypadku biegnie od czasu wypłacania przez ZUS</w:t>
      </w:r>
      <w:r w:rsidRPr="00225F16">
        <w:rPr>
          <w:rFonts w:cs="Arial"/>
        </w:rPr>
        <w:t xml:space="preserve"> zasiłku chorobowego z tytułu czasowej niezdolności do pracy.</w:t>
      </w:r>
    </w:p>
  </w:footnote>
  <w:footnote w:id="12">
    <w:p w14:paraId="00363D87" w14:textId="77777777" w:rsidR="00115B39" w:rsidRPr="00ED6B22" w:rsidRDefault="00115B39" w:rsidP="00115B39">
      <w:pPr>
        <w:pStyle w:val="Tekstprzypisudolnego"/>
        <w:spacing w:line="360" w:lineRule="auto"/>
        <w:rPr>
          <w:rFonts w:cs="Arial"/>
        </w:rPr>
      </w:pPr>
      <w:r w:rsidRPr="00ED6B22">
        <w:rPr>
          <w:rStyle w:val="Odwoanieprzypisudolnego"/>
          <w:rFonts w:cs="Arial"/>
        </w:rPr>
        <w:footnoteRef/>
      </w:r>
      <w:r w:rsidRPr="00ED6B22">
        <w:rPr>
          <w:rFonts w:cs="Arial"/>
        </w:rPr>
        <w:t xml:space="preserve"> W uzasadnionych przypadkach (np. w wyniku zmian organizacyjnych instytucji lub rozpoczęcia działalności) po uzyskaniu zgody właściwej instytucji możliwe będzie zastosowanie innej metodyki rozliczania ww. wydatków.</w:t>
      </w:r>
    </w:p>
  </w:footnote>
  <w:footnote w:id="13">
    <w:p w14:paraId="3BE31C3D" w14:textId="2CF6D28D" w:rsidR="00115B39" w:rsidRPr="00523A3F" w:rsidRDefault="00115B39" w:rsidP="00115B39">
      <w:pPr>
        <w:pStyle w:val="Tekstprzypisudolnego"/>
        <w:spacing w:after="120" w:line="360" w:lineRule="auto"/>
        <w:jc w:val="both"/>
        <w:rPr>
          <w:rFonts w:cs="Arial"/>
        </w:rPr>
      </w:pPr>
      <w:r w:rsidRPr="00523A3F">
        <w:rPr>
          <w:rStyle w:val="Odwoanieprzypisudolnego"/>
          <w:rFonts w:cs="Arial"/>
        </w:rPr>
        <w:footnoteRef/>
      </w:r>
      <w:r w:rsidRPr="00523A3F">
        <w:rPr>
          <w:rFonts w:cs="Arial"/>
        </w:rPr>
        <w:t xml:space="preserve"> W rozumieniu art. 28j ustawy z dnia 11 marca 2004 r. o podatku o towarów i usług (Dz. U. </w:t>
      </w:r>
      <w:r w:rsidR="00496A50" w:rsidRPr="00523A3F">
        <w:rPr>
          <w:rFonts w:cs="Arial"/>
        </w:rPr>
        <w:t>20</w:t>
      </w:r>
      <w:r w:rsidR="00496A50">
        <w:rPr>
          <w:rFonts w:cs="Arial"/>
        </w:rPr>
        <w:t>22 r.</w:t>
      </w:r>
      <w:r w:rsidRPr="00523A3F">
        <w:rPr>
          <w:rFonts w:cs="Arial"/>
        </w:rPr>
        <w:t xml:space="preserve"> poz. 1221, z późn. zm.)</w:t>
      </w:r>
    </w:p>
  </w:footnote>
  <w:footnote w:id="14">
    <w:p w14:paraId="12BF32D8" w14:textId="77777777" w:rsidR="00115B39" w:rsidRPr="00BE27C3" w:rsidRDefault="00115B39" w:rsidP="00115B39">
      <w:pPr>
        <w:pStyle w:val="Tekstprzypisudolnego"/>
        <w:spacing w:after="120" w:line="360" w:lineRule="auto"/>
        <w:rPr>
          <w:rFonts w:cs="Arial"/>
          <w:sz w:val="18"/>
          <w:szCs w:val="18"/>
        </w:rPr>
      </w:pPr>
      <w:r w:rsidRPr="00523A3F">
        <w:rPr>
          <w:rStyle w:val="Odwoanieprzypisudolnego"/>
          <w:rFonts w:cs="Arial"/>
        </w:rPr>
        <w:footnoteRef/>
      </w:r>
      <w:r w:rsidRPr="00523A3F">
        <w:rPr>
          <w:rFonts w:cs="Arial"/>
        </w:rPr>
        <w:t xml:space="preserve"> W przypadku projektów pomocy technicznej nie jest obligatoryjne stosowanie technik finansowania środków trwałych oraz wartości niematerialnych i prawnych, opisanych w Wytycznych dotyczących kwalifikowalności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D01"/>
    <w:multiLevelType w:val="multilevel"/>
    <w:tmpl w:val="61B4AE3E"/>
    <w:lvl w:ilvl="0">
      <w:start w:val="1"/>
      <w:numFmt w:val="lowerLetter"/>
      <w:lvlText w:val="%1)"/>
      <w:lvlJc w:val="left"/>
      <w:pPr>
        <w:ind w:left="714" w:hanging="357"/>
      </w:pPr>
      <w:rPr>
        <w:rFonts w:hint="default"/>
        <w:sz w:val="22"/>
        <w:szCs w:val="22"/>
      </w:rPr>
    </w:lvl>
    <w:lvl w:ilvl="1">
      <w:start w:val="1"/>
      <w:numFmt w:val="bullet"/>
      <w:lvlText w:val="o"/>
      <w:lvlJc w:val="left"/>
      <w:pPr>
        <w:ind w:left="1007" w:hanging="360"/>
      </w:pPr>
      <w:rPr>
        <w:rFonts w:ascii="Courier New" w:hAnsi="Courier New" w:hint="default"/>
      </w:rPr>
    </w:lvl>
    <w:lvl w:ilvl="2">
      <w:start w:val="1"/>
      <w:numFmt w:val="bullet"/>
      <w:lvlText w:val=""/>
      <w:lvlJc w:val="left"/>
      <w:pPr>
        <w:ind w:left="1727" w:hanging="360"/>
      </w:pPr>
      <w:rPr>
        <w:rFonts w:ascii="Wingdings" w:hAnsi="Wingdings" w:hint="default"/>
      </w:rPr>
    </w:lvl>
    <w:lvl w:ilvl="3">
      <w:start w:val="1"/>
      <w:numFmt w:val="bullet"/>
      <w:lvlText w:val=""/>
      <w:lvlJc w:val="left"/>
      <w:pPr>
        <w:ind w:left="2447" w:hanging="360"/>
      </w:pPr>
      <w:rPr>
        <w:rFonts w:ascii="Symbol" w:hAnsi="Symbol" w:hint="default"/>
      </w:rPr>
    </w:lvl>
    <w:lvl w:ilvl="4">
      <w:start w:val="1"/>
      <w:numFmt w:val="bullet"/>
      <w:lvlText w:val="o"/>
      <w:lvlJc w:val="left"/>
      <w:pPr>
        <w:ind w:left="3167" w:hanging="360"/>
      </w:pPr>
      <w:rPr>
        <w:rFonts w:ascii="Courier New" w:hAnsi="Courier New" w:hint="default"/>
      </w:rPr>
    </w:lvl>
    <w:lvl w:ilvl="5">
      <w:start w:val="1"/>
      <w:numFmt w:val="bullet"/>
      <w:lvlText w:val=""/>
      <w:lvlJc w:val="left"/>
      <w:pPr>
        <w:ind w:left="3887" w:hanging="360"/>
      </w:pPr>
      <w:rPr>
        <w:rFonts w:ascii="Wingdings" w:hAnsi="Wingdings" w:hint="default"/>
      </w:rPr>
    </w:lvl>
    <w:lvl w:ilvl="6">
      <w:start w:val="1"/>
      <w:numFmt w:val="bullet"/>
      <w:lvlText w:val=""/>
      <w:lvlJc w:val="left"/>
      <w:pPr>
        <w:ind w:left="4607" w:hanging="360"/>
      </w:pPr>
      <w:rPr>
        <w:rFonts w:ascii="Symbol" w:hAnsi="Symbol" w:hint="default"/>
      </w:rPr>
    </w:lvl>
    <w:lvl w:ilvl="7">
      <w:start w:val="1"/>
      <w:numFmt w:val="bullet"/>
      <w:lvlText w:val="o"/>
      <w:lvlJc w:val="left"/>
      <w:pPr>
        <w:ind w:left="5327" w:hanging="360"/>
      </w:pPr>
      <w:rPr>
        <w:rFonts w:ascii="Courier New" w:hAnsi="Courier New" w:hint="default"/>
      </w:rPr>
    </w:lvl>
    <w:lvl w:ilvl="8">
      <w:start w:val="1"/>
      <w:numFmt w:val="bullet"/>
      <w:lvlText w:val=""/>
      <w:lvlJc w:val="left"/>
      <w:pPr>
        <w:ind w:left="6047" w:hanging="360"/>
      </w:pPr>
      <w:rPr>
        <w:rFonts w:ascii="Wingdings" w:hAnsi="Wingdings" w:hint="default"/>
      </w:rPr>
    </w:lvl>
  </w:abstractNum>
  <w:abstractNum w:abstractNumId="1" w15:restartNumberingAfterBreak="0">
    <w:nsid w:val="027F7761"/>
    <w:multiLevelType w:val="hybridMultilevel"/>
    <w:tmpl w:val="6F9E5802"/>
    <w:lvl w:ilvl="0" w:tplc="B4A6D730">
      <w:start w:val="1"/>
      <w:numFmt w:val="decimal"/>
      <w:lvlText w:val="%1)"/>
      <w:lvlJc w:val="left"/>
      <w:pPr>
        <w:ind w:left="360" w:hanging="360"/>
      </w:pPr>
      <w:rPr>
        <w:rFonts w:hint="default"/>
        <w:sz w:val="24"/>
        <w:szCs w:val="24"/>
      </w:rPr>
    </w:lvl>
    <w:lvl w:ilvl="1" w:tplc="B4A6D730">
      <w:start w:val="1"/>
      <w:numFmt w:val="decimal"/>
      <w:lvlText w:val="%2)"/>
      <w:lvlJc w:val="left"/>
      <w:pPr>
        <w:ind w:left="1441" w:hanging="360"/>
      </w:pPr>
      <w:rPr>
        <w:rFonts w:hint="default"/>
        <w:sz w:val="24"/>
        <w:szCs w:val="24"/>
      </w:r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 w15:restartNumberingAfterBreak="0">
    <w:nsid w:val="03AC7EC1"/>
    <w:multiLevelType w:val="hybridMultilevel"/>
    <w:tmpl w:val="2A50B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D12A63"/>
    <w:multiLevelType w:val="hybridMultilevel"/>
    <w:tmpl w:val="7582A10A"/>
    <w:lvl w:ilvl="0" w:tplc="8D7E9DC2">
      <w:start w:val="1"/>
      <w:numFmt w:val="decimal"/>
      <w:lvlText w:val="%1)"/>
      <w:lvlJc w:val="left"/>
      <w:pPr>
        <w:ind w:left="72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5" w15:restartNumberingAfterBreak="0">
    <w:nsid w:val="0F8635E6"/>
    <w:multiLevelType w:val="hybridMultilevel"/>
    <w:tmpl w:val="CBF03C9C"/>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 w15:restartNumberingAfterBreak="0">
    <w:nsid w:val="1273745F"/>
    <w:multiLevelType w:val="hybridMultilevel"/>
    <w:tmpl w:val="DEBA056C"/>
    <w:lvl w:ilvl="0" w:tplc="4E48A346">
      <w:start w:val="1"/>
      <w:numFmt w:val="decimal"/>
      <w:lvlText w:val="%1)"/>
      <w:lvlJc w:val="left"/>
      <w:pPr>
        <w:ind w:left="721" w:hanging="360"/>
      </w:pPr>
    </w:lvl>
    <w:lvl w:ilvl="1" w:tplc="04150017">
      <w:start w:val="1"/>
      <w:numFmt w:val="lowerLetter"/>
      <w:lvlText w:val="%2)"/>
      <w:lvlJc w:val="left"/>
      <w:pPr>
        <w:ind w:left="644"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7" w15:restartNumberingAfterBreak="0">
    <w:nsid w:val="142C1E5C"/>
    <w:multiLevelType w:val="hybridMultilevel"/>
    <w:tmpl w:val="E15E98DC"/>
    <w:lvl w:ilvl="0" w:tplc="C2408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431213"/>
    <w:multiLevelType w:val="hybridMultilevel"/>
    <w:tmpl w:val="244613C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E21CEC"/>
    <w:multiLevelType w:val="hybridMultilevel"/>
    <w:tmpl w:val="938CC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CA31A0"/>
    <w:multiLevelType w:val="hybridMultilevel"/>
    <w:tmpl w:val="DDB40698"/>
    <w:lvl w:ilvl="0" w:tplc="D33C5C4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D1D0727"/>
    <w:multiLevelType w:val="hybridMultilevel"/>
    <w:tmpl w:val="2FF67DA6"/>
    <w:lvl w:ilvl="0" w:tplc="C3B8F9BC">
      <w:start w:val="1"/>
      <w:numFmt w:val="decimal"/>
      <w:lvlText w:val="%1)"/>
      <w:lvlJc w:val="left"/>
      <w:pPr>
        <w:ind w:left="721" w:hanging="360"/>
      </w:pPr>
      <w:rPr>
        <w:rFonts w:hint="default"/>
        <w:b w:val="0"/>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5" w15:restartNumberingAfterBreak="0">
    <w:nsid w:val="22183943"/>
    <w:multiLevelType w:val="hybridMultilevel"/>
    <w:tmpl w:val="B122020E"/>
    <w:lvl w:ilvl="0" w:tplc="3AA650F4">
      <w:start w:val="1"/>
      <w:numFmt w:val="decimal"/>
      <w:lvlText w:val="Rozdział %1."/>
      <w:lvlJc w:val="left"/>
      <w:pPr>
        <w:ind w:left="360" w:hanging="360"/>
      </w:pPr>
      <w:rPr>
        <w:rFonts w:hint="default"/>
        <w:b/>
        <w:color w:val="auto"/>
      </w:rPr>
    </w:lvl>
    <w:lvl w:ilvl="1" w:tplc="04150019" w:tentative="1">
      <w:start w:val="1"/>
      <w:numFmt w:val="lowerLetter"/>
      <w:lvlText w:val="%2."/>
      <w:lvlJc w:val="left"/>
      <w:pPr>
        <w:ind w:left="-5648" w:hanging="360"/>
      </w:pPr>
    </w:lvl>
    <w:lvl w:ilvl="2" w:tplc="0415001B" w:tentative="1">
      <w:start w:val="1"/>
      <w:numFmt w:val="lowerRoman"/>
      <w:lvlText w:val="%3."/>
      <w:lvlJc w:val="right"/>
      <w:pPr>
        <w:ind w:left="-4928" w:hanging="180"/>
      </w:pPr>
    </w:lvl>
    <w:lvl w:ilvl="3" w:tplc="0415000F" w:tentative="1">
      <w:start w:val="1"/>
      <w:numFmt w:val="decimal"/>
      <w:lvlText w:val="%4."/>
      <w:lvlJc w:val="left"/>
      <w:pPr>
        <w:ind w:left="-4208" w:hanging="360"/>
      </w:pPr>
    </w:lvl>
    <w:lvl w:ilvl="4" w:tplc="04150019" w:tentative="1">
      <w:start w:val="1"/>
      <w:numFmt w:val="lowerLetter"/>
      <w:lvlText w:val="%5."/>
      <w:lvlJc w:val="left"/>
      <w:pPr>
        <w:ind w:left="-3488" w:hanging="360"/>
      </w:pPr>
    </w:lvl>
    <w:lvl w:ilvl="5" w:tplc="0415001B" w:tentative="1">
      <w:start w:val="1"/>
      <w:numFmt w:val="lowerRoman"/>
      <w:lvlText w:val="%6."/>
      <w:lvlJc w:val="right"/>
      <w:pPr>
        <w:ind w:left="-2768" w:hanging="180"/>
      </w:pPr>
    </w:lvl>
    <w:lvl w:ilvl="6" w:tplc="0415000F" w:tentative="1">
      <w:start w:val="1"/>
      <w:numFmt w:val="decimal"/>
      <w:lvlText w:val="%7."/>
      <w:lvlJc w:val="left"/>
      <w:pPr>
        <w:ind w:left="-2048" w:hanging="360"/>
      </w:pPr>
    </w:lvl>
    <w:lvl w:ilvl="7" w:tplc="04150019" w:tentative="1">
      <w:start w:val="1"/>
      <w:numFmt w:val="lowerLetter"/>
      <w:lvlText w:val="%8."/>
      <w:lvlJc w:val="left"/>
      <w:pPr>
        <w:ind w:left="-1328" w:hanging="360"/>
      </w:pPr>
    </w:lvl>
    <w:lvl w:ilvl="8" w:tplc="0415001B" w:tentative="1">
      <w:start w:val="1"/>
      <w:numFmt w:val="lowerRoman"/>
      <w:lvlText w:val="%9."/>
      <w:lvlJc w:val="right"/>
      <w:pPr>
        <w:ind w:left="-608" w:hanging="180"/>
      </w:pPr>
    </w:lvl>
  </w:abstractNum>
  <w:abstractNum w:abstractNumId="16" w15:restartNumberingAfterBreak="0">
    <w:nsid w:val="25492AC6"/>
    <w:multiLevelType w:val="hybridMultilevel"/>
    <w:tmpl w:val="4350AB26"/>
    <w:lvl w:ilvl="0" w:tplc="3AA650F4">
      <w:start w:val="1"/>
      <w:numFmt w:val="decimal"/>
      <w:lvlText w:val="Rozdział %1."/>
      <w:lvlJc w:val="left"/>
      <w:pPr>
        <w:ind w:left="1080" w:hanging="360"/>
      </w:pPr>
      <w:rPr>
        <w:rFonts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8296E9D"/>
    <w:multiLevelType w:val="hybridMultilevel"/>
    <w:tmpl w:val="D2386BEA"/>
    <w:lvl w:ilvl="0" w:tplc="614028EE">
      <w:start w:val="1"/>
      <w:numFmt w:val="decimal"/>
      <w:lvlText w:val="%1)"/>
      <w:lvlJc w:val="left"/>
      <w:pPr>
        <w:ind w:left="721" w:hanging="360"/>
      </w:pPr>
      <w:rPr>
        <w:rFonts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6E08E2"/>
    <w:multiLevelType w:val="hybridMultilevel"/>
    <w:tmpl w:val="E2903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F627EA"/>
    <w:multiLevelType w:val="hybridMultilevel"/>
    <w:tmpl w:val="12E2AC8E"/>
    <w:lvl w:ilvl="0" w:tplc="948E7C74">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0" w15:restartNumberingAfterBreak="0">
    <w:nsid w:val="39A65C32"/>
    <w:multiLevelType w:val="hybridMultilevel"/>
    <w:tmpl w:val="89EA616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865CE6"/>
    <w:multiLevelType w:val="hybridMultilevel"/>
    <w:tmpl w:val="5308B5F2"/>
    <w:lvl w:ilvl="0" w:tplc="A22C1326">
      <w:start w:val="1"/>
      <w:numFmt w:val="decimal"/>
      <w:lvlText w:val="%1)"/>
      <w:lvlJc w:val="left"/>
      <w:pPr>
        <w:tabs>
          <w:tab w:val="num" w:pos="644"/>
        </w:tabs>
        <w:ind w:left="64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FB5CD6"/>
    <w:multiLevelType w:val="hybridMultilevel"/>
    <w:tmpl w:val="3CF4D8CE"/>
    <w:lvl w:ilvl="0" w:tplc="CEF65326">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4942568"/>
    <w:multiLevelType w:val="multilevel"/>
    <w:tmpl w:val="5E36BC76"/>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4EA067C"/>
    <w:multiLevelType w:val="singleLevel"/>
    <w:tmpl w:val="0415000B"/>
    <w:name w:val="a.222222222222222232232222222222262"/>
    <w:lvl w:ilvl="0">
      <w:start w:val="1"/>
      <w:numFmt w:val="bullet"/>
      <w:lvlText w:val=""/>
      <w:lvlJc w:val="left"/>
      <w:pPr>
        <w:ind w:left="360" w:hanging="360"/>
      </w:pPr>
      <w:rPr>
        <w:rFonts w:ascii="Wingdings" w:hAnsi="Wingdings" w:hint="default"/>
        <w:sz w:val="24"/>
      </w:rPr>
    </w:lvl>
  </w:abstractNum>
  <w:abstractNum w:abstractNumId="26" w15:restartNumberingAfterBreak="0">
    <w:nsid w:val="4B2F0F49"/>
    <w:multiLevelType w:val="hybridMultilevel"/>
    <w:tmpl w:val="30CA1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1F2CA6"/>
    <w:multiLevelType w:val="hybridMultilevel"/>
    <w:tmpl w:val="0BEE153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597404F7"/>
    <w:multiLevelType w:val="hybridMultilevel"/>
    <w:tmpl w:val="5A561CEE"/>
    <w:lvl w:ilvl="0" w:tplc="04150017">
      <w:start w:val="1"/>
      <w:numFmt w:val="lowerLetter"/>
      <w:lvlText w:val="%1)"/>
      <w:lvlJc w:val="left"/>
      <w:pPr>
        <w:ind w:left="72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9E74B0"/>
    <w:multiLevelType w:val="multilevel"/>
    <w:tmpl w:val="538A34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2B1858"/>
    <w:multiLevelType w:val="hybridMultilevel"/>
    <w:tmpl w:val="3FFAB668"/>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1" w15:restartNumberingAfterBreak="0">
    <w:nsid w:val="5C991458"/>
    <w:multiLevelType w:val="multilevel"/>
    <w:tmpl w:val="38C8B72E"/>
    <w:lvl w:ilvl="0">
      <w:start w:val="1"/>
      <w:numFmt w:val="lowerLetter"/>
      <w:lvlText w:val="%1)"/>
      <w:lvlJc w:val="left"/>
      <w:pPr>
        <w:ind w:left="0" w:hanging="540"/>
      </w:pPr>
      <w:rPr>
        <w:rFonts w:hint="default"/>
      </w:rPr>
    </w:lvl>
    <w:lvl w:ilvl="1">
      <w:start w:val="3"/>
      <w:numFmt w:val="decimal"/>
      <w:lvlText w:val="%1.%2"/>
      <w:lvlJc w:val="left"/>
      <w:pPr>
        <w:ind w:left="354" w:hanging="54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1602" w:hanging="108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670" w:hanging="144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738" w:hanging="1800"/>
      </w:pPr>
      <w:rPr>
        <w:rFonts w:hint="default"/>
      </w:rPr>
    </w:lvl>
    <w:lvl w:ilvl="8">
      <w:start w:val="1"/>
      <w:numFmt w:val="decimal"/>
      <w:lvlText w:val="%1.%2.%3.%4.%5.%6.%7.%8.%9"/>
      <w:lvlJc w:val="left"/>
      <w:pPr>
        <w:ind w:left="4092" w:hanging="1800"/>
      </w:pPr>
      <w:rPr>
        <w:rFonts w:hint="default"/>
      </w:rPr>
    </w:lvl>
  </w:abstractNum>
  <w:abstractNum w:abstractNumId="32" w15:restartNumberingAfterBreak="0">
    <w:nsid w:val="63243B28"/>
    <w:multiLevelType w:val="hybridMultilevel"/>
    <w:tmpl w:val="57A84180"/>
    <w:lvl w:ilvl="0" w:tplc="04150017">
      <w:start w:val="1"/>
      <w:numFmt w:val="lowerLetter"/>
      <w:lvlText w:val="%1)"/>
      <w:lvlJc w:val="left"/>
      <w:pPr>
        <w:ind w:left="1572" w:hanging="360"/>
      </w:pPr>
      <w:rPr>
        <w:rFonts w:cs="Times New Roman"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67EE63C3"/>
    <w:multiLevelType w:val="hybridMultilevel"/>
    <w:tmpl w:val="B47EFA5A"/>
    <w:lvl w:ilvl="0" w:tplc="72FCAB28">
      <w:start w:val="1"/>
      <w:numFmt w:val="lowerLetter"/>
      <w:lvlText w:val="%1)"/>
      <w:lvlJc w:val="left"/>
      <w:pPr>
        <w:ind w:left="2561" w:hanging="360"/>
      </w:pPr>
      <w:rPr>
        <w:rFonts w:cs="Times New Roman" w:hint="default"/>
      </w:rPr>
    </w:lvl>
    <w:lvl w:ilvl="1" w:tplc="04150003">
      <w:start w:val="1"/>
      <w:numFmt w:val="bullet"/>
      <w:lvlText w:val="o"/>
      <w:lvlJc w:val="left"/>
      <w:pPr>
        <w:ind w:left="2855" w:hanging="360"/>
      </w:pPr>
      <w:rPr>
        <w:rFonts w:ascii="Courier New" w:hAnsi="Courier New" w:hint="default"/>
      </w:rPr>
    </w:lvl>
    <w:lvl w:ilvl="2" w:tplc="04150005" w:tentative="1">
      <w:start w:val="1"/>
      <w:numFmt w:val="bullet"/>
      <w:lvlText w:val=""/>
      <w:lvlJc w:val="left"/>
      <w:pPr>
        <w:ind w:left="3575" w:hanging="360"/>
      </w:pPr>
      <w:rPr>
        <w:rFonts w:ascii="Wingdings" w:hAnsi="Wingdings" w:hint="default"/>
      </w:rPr>
    </w:lvl>
    <w:lvl w:ilvl="3" w:tplc="04150001" w:tentative="1">
      <w:start w:val="1"/>
      <w:numFmt w:val="bullet"/>
      <w:lvlText w:val=""/>
      <w:lvlJc w:val="left"/>
      <w:pPr>
        <w:ind w:left="4295" w:hanging="360"/>
      </w:pPr>
      <w:rPr>
        <w:rFonts w:ascii="Symbol" w:hAnsi="Symbol" w:hint="default"/>
      </w:rPr>
    </w:lvl>
    <w:lvl w:ilvl="4" w:tplc="04150003" w:tentative="1">
      <w:start w:val="1"/>
      <w:numFmt w:val="bullet"/>
      <w:lvlText w:val="o"/>
      <w:lvlJc w:val="left"/>
      <w:pPr>
        <w:ind w:left="5015" w:hanging="360"/>
      </w:pPr>
      <w:rPr>
        <w:rFonts w:ascii="Courier New" w:hAnsi="Courier New" w:hint="default"/>
      </w:rPr>
    </w:lvl>
    <w:lvl w:ilvl="5" w:tplc="04150005" w:tentative="1">
      <w:start w:val="1"/>
      <w:numFmt w:val="bullet"/>
      <w:lvlText w:val=""/>
      <w:lvlJc w:val="left"/>
      <w:pPr>
        <w:ind w:left="5735" w:hanging="360"/>
      </w:pPr>
      <w:rPr>
        <w:rFonts w:ascii="Wingdings" w:hAnsi="Wingdings" w:hint="default"/>
      </w:rPr>
    </w:lvl>
    <w:lvl w:ilvl="6" w:tplc="04150001" w:tentative="1">
      <w:start w:val="1"/>
      <w:numFmt w:val="bullet"/>
      <w:lvlText w:val=""/>
      <w:lvlJc w:val="left"/>
      <w:pPr>
        <w:ind w:left="6455" w:hanging="360"/>
      </w:pPr>
      <w:rPr>
        <w:rFonts w:ascii="Symbol" w:hAnsi="Symbol" w:hint="default"/>
      </w:rPr>
    </w:lvl>
    <w:lvl w:ilvl="7" w:tplc="04150003" w:tentative="1">
      <w:start w:val="1"/>
      <w:numFmt w:val="bullet"/>
      <w:lvlText w:val="o"/>
      <w:lvlJc w:val="left"/>
      <w:pPr>
        <w:ind w:left="7175" w:hanging="360"/>
      </w:pPr>
      <w:rPr>
        <w:rFonts w:ascii="Courier New" w:hAnsi="Courier New" w:hint="default"/>
      </w:rPr>
    </w:lvl>
    <w:lvl w:ilvl="8" w:tplc="04150005" w:tentative="1">
      <w:start w:val="1"/>
      <w:numFmt w:val="bullet"/>
      <w:lvlText w:val=""/>
      <w:lvlJc w:val="left"/>
      <w:pPr>
        <w:ind w:left="7895" w:hanging="360"/>
      </w:pPr>
      <w:rPr>
        <w:rFonts w:ascii="Wingdings" w:hAnsi="Wingdings" w:hint="default"/>
      </w:rPr>
    </w:lvl>
  </w:abstractNum>
  <w:abstractNum w:abstractNumId="34" w15:restartNumberingAfterBreak="0">
    <w:nsid w:val="72C416C4"/>
    <w:multiLevelType w:val="hybridMultilevel"/>
    <w:tmpl w:val="438A6D16"/>
    <w:lvl w:ilvl="0" w:tplc="B4A6D730">
      <w:start w:val="1"/>
      <w:numFmt w:val="decimal"/>
      <w:lvlText w:val="%1)"/>
      <w:lvlJc w:val="left"/>
      <w:pPr>
        <w:ind w:left="721"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002ACF"/>
    <w:multiLevelType w:val="hybridMultilevel"/>
    <w:tmpl w:val="5B8A40A4"/>
    <w:lvl w:ilvl="0" w:tplc="261E9AE4">
      <w:start w:val="1"/>
      <w:numFmt w:val="decimal"/>
      <w:lvlText w:val="%1)"/>
      <w:lvlJc w:val="left"/>
      <w:pPr>
        <w:ind w:left="644" w:hanging="360"/>
      </w:pPr>
      <w:rPr>
        <w:rFonts w:hint="default"/>
        <w:b w:val="0"/>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6" w15:restartNumberingAfterBreak="0">
    <w:nsid w:val="777178AC"/>
    <w:multiLevelType w:val="hybridMultilevel"/>
    <w:tmpl w:val="7B6087C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2D442E"/>
    <w:multiLevelType w:val="hybridMultilevel"/>
    <w:tmpl w:val="95C05144"/>
    <w:lvl w:ilvl="0" w:tplc="44027C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3"/>
  </w:num>
  <w:num w:numId="3">
    <w:abstractNumId w:val="15"/>
  </w:num>
  <w:num w:numId="4">
    <w:abstractNumId w:val="33"/>
  </w:num>
  <w:num w:numId="5">
    <w:abstractNumId w:val="32"/>
  </w:num>
  <w:num w:numId="6">
    <w:abstractNumId w:val="0"/>
  </w:num>
  <w:num w:numId="7">
    <w:abstractNumId w:val="6"/>
  </w:num>
  <w:num w:numId="8">
    <w:abstractNumId w:val="30"/>
  </w:num>
  <w:num w:numId="9">
    <w:abstractNumId w:val="29"/>
  </w:num>
  <w:num w:numId="10">
    <w:abstractNumId w:val="1"/>
  </w:num>
  <w:num w:numId="11">
    <w:abstractNumId w:val="35"/>
  </w:num>
  <w:num w:numId="12">
    <w:abstractNumId w:val="4"/>
  </w:num>
  <w:num w:numId="13">
    <w:abstractNumId w:val="19"/>
  </w:num>
  <w:num w:numId="14">
    <w:abstractNumId w:val="5"/>
  </w:num>
  <w:num w:numId="15">
    <w:abstractNumId w:val="10"/>
  </w:num>
  <w:num w:numId="16">
    <w:abstractNumId w:val="18"/>
  </w:num>
  <w:num w:numId="17">
    <w:abstractNumId w:val="24"/>
  </w:num>
  <w:num w:numId="18">
    <w:abstractNumId w:val="31"/>
  </w:num>
  <w:num w:numId="19">
    <w:abstractNumId w:val="14"/>
  </w:num>
  <w:num w:numId="20">
    <w:abstractNumId w:val="38"/>
  </w:num>
  <w:num w:numId="21">
    <w:abstractNumId w:val="26"/>
  </w:num>
  <w:num w:numId="22">
    <w:abstractNumId w:val="7"/>
  </w:num>
  <w:num w:numId="23">
    <w:abstractNumId w:val="20"/>
  </w:num>
  <w:num w:numId="24">
    <w:abstractNumId w:val="13"/>
  </w:num>
  <w:num w:numId="25">
    <w:abstractNumId w:val="2"/>
  </w:num>
  <w:num w:numId="26">
    <w:abstractNumId w:val="36"/>
  </w:num>
  <w:num w:numId="27">
    <w:abstractNumId w:val="17"/>
  </w:num>
  <w:num w:numId="28">
    <w:abstractNumId w:val="28"/>
  </w:num>
  <w:num w:numId="29">
    <w:abstractNumId w:val="34"/>
  </w:num>
  <w:num w:numId="30">
    <w:abstractNumId w:val="22"/>
  </w:num>
  <w:num w:numId="31">
    <w:abstractNumId w:val="27"/>
  </w:num>
  <w:num w:numId="32">
    <w:abstractNumId w:val="16"/>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13"/>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88"/>
    <w:rsid w:val="00004FE8"/>
    <w:rsid w:val="00006844"/>
    <w:rsid w:val="000335DE"/>
    <w:rsid w:val="00075942"/>
    <w:rsid w:val="000952A5"/>
    <w:rsid w:val="000A27BD"/>
    <w:rsid w:val="000A3B21"/>
    <w:rsid w:val="000B18D3"/>
    <w:rsid w:val="000B79CA"/>
    <w:rsid w:val="000C00C6"/>
    <w:rsid w:val="000C3725"/>
    <w:rsid w:val="00111F6B"/>
    <w:rsid w:val="001159E7"/>
    <w:rsid w:val="00115B33"/>
    <w:rsid w:val="00115B39"/>
    <w:rsid w:val="00121914"/>
    <w:rsid w:val="00177D1F"/>
    <w:rsid w:val="00180D31"/>
    <w:rsid w:val="0019041F"/>
    <w:rsid w:val="00193A5B"/>
    <w:rsid w:val="001A694C"/>
    <w:rsid w:val="001B2D87"/>
    <w:rsid w:val="001C7AAD"/>
    <w:rsid w:val="001D6AF8"/>
    <w:rsid w:val="001E2ED1"/>
    <w:rsid w:val="001E5B1A"/>
    <w:rsid w:val="001F3B97"/>
    <w:rsid w:val="00206D55"/>
    <w:rsid w:val="002176C7"/>
    <w:rsid w:val="00233745"/>
    <w:rsid w:val="002410F7"/>
    <w:rsid w:val="00262E7B"/>
    <w:rsid w:val="002645F1"/>
    <w:rsid w:val="002670EC"/>
    <w:rsid w:val="00270E18"/>
    <w:rsid w:val="002A6ECA"/>
    <w:rsid w:val="002C5B42"/>
    <w:rsid w:val="002E4AF3"/>
    <w:rsid w:val="002F0648"/>
    <w:rsid w:val="00303AD7"/>
    <w:rsid w:val="00337563"/>
    <w:rsid w:val="003525FF"/>
    <w:rsid w:val="0036452A"/>
    <w:rsid w:val="00392323"/>
    <w:rsid w:val="00396A3A"/>
    <w:rsid w:val="00396D03"/>
    <w:rsid w:val="003A6F58"/>
    <w:rsid w:val="003C0823"/>
    <w:rsid w:val="003C3EA3"/>
    <w:rsid w:val="003F154A"/>
    <w:rsid w:val="003F2115"/>
    <w:rsid w:val="00402F5F"/>
    <w:rsid w:val="00413DCA"/>
    <w:rsid w:val="00422955"/>
    <w:rsid w:val="00442E47"/>
    <w:rsid w:val="00467983"/>
    <w:rsid w:val="00474D35"/>
    <w:rsid w:val="00475A64"/>
    <w:rsid w:val="00496A50"/>
    <w:rsid w:val="004A408C"/>
    <w:rsid w:val="004A54C4"/>
    <w:rsid w:val="004D3089"/>
    <w:rsid w:val="004D5C08"/>
    <w:rsid w:val="00520E19"/>
    <w:rsid w:val="005753E1"/>
    <w:rsid w:val="00593D85"/>
    <w:rsid w:val="0059559E"/>
    <w:rsid w:val="005B3582"/>
    <w:rsid w:val="005F5FF2"/>
    <w:rsid w:val="005F6922"/>
    <w:rsid w:val="006048D1"/>
    <w:rsid w:val="00617FD3"/>
    <w:rsid w:val="0062102E"/>
    <w:rsid w:val="00623053"/>
    <w:rsid w:val="00640657"/>
    <w:rsid w:val="00664C17"/>
    <w:rsid w:val="00666693"/>
    <w:rsid w:val="006755E8"/>
    <w:rsid w:val="0068620F"/>
    <w:rsid w:val="00697A19"/>
    <w:rsid w:val="006B0231"/>
    <w:rsid w:val="006C0C1A"/>
    <w:rsid w:val="006C1A37"/>
    <w:rsid w:val="006E3FA9"/>
    <w:rsid w:val="006E46E8"/>
    <w:rsid w:val="006E4DD9"/>
    <w:rsid w:val="006F0E70"/>
    <w:rsid w:val="006F678B"/>
    <w:rsid w:val="00703D8D"/>
    <w:rsid w:val="007175D9"/>
    <w:rsid w:val="00764F73"/>
    <w:rsid w:val="00773AF2"/>
    <w:rsid w:val="007959DE"/>
    <w:rsid w:val="007A78BB"/>
    <w:rsid w:val="007B7717"/>
    <w:rsid w:val="007C47BC"/>
    <w:rsid w:val="007C533C"/>
    <w:rsid w:val="007D52B0"/>
    <w:rsid w:val="007F2D9B"/>
    <w:rsid w:val="008015FD"/>
    <w:rsid w:val="008041FA"/>
    <w:rsid w:val="00841A39"/>
    <w:rsid w:val="0085114A"/>
    <w:rsid w:val="008545E3"/>
    <w:rsid w:val="00887ECB"/>
    <w:rsid w:val="00893D01"/>
    <w:rsid w:val="008B3DAD"/>
    <w:rsid w:val="008C4701"/>
    <w:rsid w:val="008D5062"/>
    <w:rsid w:val="008D7C10"/>
    <w:rsid w:val="008E0D82"/>
    <w:rsid w:val="008E15D6"/>
    <w:rsid w:val="008E1B26"/>
    <w:rsid w:val="008E1F3C"/>
    <w:rsid w:val="008F7A4A"/>
    <w:rsid w:val="00915E13"/>
    <w:rsid w:val="00921773"/>
    <w:rsid w:val="009271E8"/>
    <w:rsid w:val="009314AB"/>
    <w:rsid w:val="009314F4"/>
    <w:rsid w:val="0093535B"/>
    <w:rsid w:val="00937A44"/>
    <w:rsid w:val="00944F36"/>
    <w:rsid w:val="00972E4E"/>
    <w:rsid w:val="00980F78"/>
    <w:rsid w:val="009A3C3B"/>
    <w:rsid w:val="009C79B3"/>
    <w:rsid w:val="009D350F"/>
    <w:rsid w:val="009D364F"/>
    <w:rsid w:val="009F3072"/>
    <w:rsid w:val="00A004F8"/>
    <w:rsid w:val="00A04235"/>
    <w:rsid w:val="00A1283C"/>
    <w:rsid w:val="00A261F9"/>
    <w:rsid w:val="00A5009D"/>
    <w:rsid w:val="00A5769F"/>
    <w:rsid w:val="00A820C1"/>
    <w:rsid w:val="00AC176B"/>
    <w:rsid w:val="00AD6CDD"/>
    <w:rsid w:val="00AF1788"/>
    <w:rsid w:val="00B451F7"/>
    <w:rsid w:val="00B7353A"/>
    <w:rsid w:val="00B90536"/>
    <w:rsid w:val="00B9669F"/>
    <w:rsid w:val="00BB3AEB"/>
    <w:rsid w:val="00BC153D"/>
    <w:rsid w:val="00BF381D"/>
    <w:rsid w:val="00C0352D"/>
    <w:rsid w:val="00C353D5"/>
    <w:rsid w:val="00C55E15"/>
    <w:rsid w:val="00C57D65"/>
    <w:rsid w:val="00C6528D"/>
    <w:rsid w:val="00C77FCB"/>
    <w:rsid w:val="00C923AB"/>
    <w:rsid w:val="00CA2C24"/>
    <w:rsid w:val="00CC3257"/>
    <w:rsid w:val="00CD51B5"/>
    <w:rsid w:val="00CD5B0B"/>
    <w:rsid w:val="00CE3751"/>
    <w:rsid w:val="00CE600F"/>
    <w:rsid w:val="00D164E4"/>
    <w:rsid w:val="00D172CD"/>
    <w:rsid w:val="00D314A3"/>
    <w:rsid w:val="00D3778A"/>
    <w:rsid w:val="00D54B28"/>
    <w:rsid w:val="00D561FE"/>
    <w:rsid w:val="00D57A79"/>
    <w:rsid w:val="00D76201"/>
    <w:rsid w:val="00DC004D"/>
    <w:rsid w:val="00DF6540"/>
    <w:rsid w:val="00E0353D"/>
    <w:rsid w:val="00E06C28"/>
    <w:rsid w:val="00E14FBF"/>
    <w:rsid w:val="00E542C6"/>
    <w:rsid w:val="00E82F4D"/>
    <w:rsid w:val="00E95454"/>
    <w:rsid w:val="00E97527"/>
    <w:rsid w:val="00EA6F18"/>
    <w:rsid w:val="00EE32FB"/>
    <w:rsid w:val="00F10455"/>
    <w:rsid w:val="00F22A2D"/>
    <w:rsid w:val="00F27B6A"/>
    <w:rsid w:val="00F312AC"/>
    <w:rsid w:val="00F36DB4"/>
    <w:rsid w:val="00F4187E"/>
    <w:rsid w:val="00F83202"/>
    <w:rsid w:val="00FA3D40"/>
    <w:rsid w:val="00FC0F57"/>
    <w:rsid w:val="00FD479A"/>
    <w:rsid w:val="00FD695A"/>
    <w:rsid w:val="00FF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515F3"/>
  <w15:docId w15:val="{A8D2F7AE-C99C-4BA0-A314-0F34D501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99"/>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79E2"/>
    <w:rPr>
      <w:rFonts w:ascii="Arial" w:hAnsi="Arial"/>
      <w:sz w:val="24"/>
      <w:szCs w:val="24"/>
      <w:lang w:eastAsia="pl-PL"/>
    </w:rPr>
  </w:style>
  <w:style w:type="paragraph" w:styleId="Nagwek1">
    <w:name w:val="heading 1"/>
    <w:basedOn w:val="Normalny"/>
    <w:next w:val="Normalny"/>
    <w:link w:val="Nagwek1Znak"/>
    <w:autoRedefine/>
    <w:qFormat/>
    <w:rsid w:val="00A1283C"/>
    <w:pPr>
      <w:keepNext/>
      <w:spacing w:before="360" w:after="120" w:line="360" w:lineRule="auto"/>
      <w:outlineLvl w:val="0"/>
    </w:pPr>
    <w:rPr>
      <w:rFonts w:eastAsiaTheme="majorEastAsia" w:cs="Arial"/>
      <w:b/>
      <w:bCs/>
      <w:kern w:val="32"/>
      <w:sz w:val="32"/>
      <w:szCs w:val="32"/>
    </w:rPr>
  </w:style>
  <w:style w:type="paragraph" w:styleId="Nagwek2">
    <w:name w:val="heading 2"/>
    <w:basedOn w:val="Normalny"/>
    <w:next w:val="Normalny"/>
    <w:link w:val="Nagwek2Znak"/>
    <w:autoRedefine/>
    <w:unhideWhenUsed/>
    <w:qFormat/>
    <w:rsid w:val="00A1283C"/>
    <w:pPr>
      <w:keepNext/>
      <w:keepLines/>
      <w:spacing w:before="240" w:after="120" w:line="360" w:lineRule="auto"/>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A1283C"/>
    <w:pPr>
      <w:keepNext/>
      <w:keepLines/>
      <w:spacing w:before="240" w:after="120" w:line="360" w:lineRule="auto"/>
      <w:outlineLvl w:val="2"/>
    </w:pPr>
    <w:rPr>
      <w:rFonts w:eastAsiaTheme="majorEastAsia" w:cstheme="majorBidi"/>
      <w:b/>
    </w:rPr>
  </w:style>
  <w:style w:type="paragraph" w:styleId="Nagwek4">
    <w:name w:val="heading 4"/>
    <w:basedOn w:val="Normalny"/>
    <w:next w:val="Normalny"/>
    <w:link w:val="Nagwek4Znak"/>
    <w:unhideWhenUsed/>
    <w:qFormat/>
    <w:rsid w:val="00115B39"/>
    <w:pPr>
      <w:keepNext/>
      <w:keepLines/>
      <w:spacing w:before="200" w:line="360" w:lineRule="auto"/>
      <w:ind w:left="340"/>
      <w:outlineLvl w:val="3"/>
    </w:pPr>
    <w:rPr>
      <w:rFonts w:asciiTheme="majorHAnsi" w:eastAsiaTheme="majorEastAsia" w:hAnsiTheme="majorHAnsi" w:cstheme="majorBidi"/>
      <w:b/>
      <w:bCs/>
      <w:i/>
      <w:iCs/>
      <w:color w:val="5B9BD5" w:themeColor="accent1"/>
      <w:sz w:val="22"/>
      <w:szCs w:val="22"/>
      <w:lang w:eastAsia="en-US"/>
    </w:rPr>
  </w:style>
  <w:style w:type="paragraph" w:styleId="Nagwek5">
    <w:name w:val="heading 5"/>
    <w:basedOn w:val="Normalny"/>
    <w:next w:val="Normalny"/>
    <w:link w:val="Nagwek5Znak"/>
    <w:unhideWhenUsed/>
    <w:qFormat/>
    <w:rsid w:val="00115B39"/>
    <w:pPr>
      <w:keepNext/>
      <w:keepLines/>
      <w:spacing w:before="200" w:line="360" w:lineRule="auto"/>
      <w:ind w:left="340"/>
      <w:outlineLvl w:val="4"/>
    </w:pPr>
    <w:rPr>
      <w:rFonts w:asciiTheme="majorHAnsi" w:eastAsiaTheme="majorEastAsia" w:hAnsiTheme="majorHAnsi" w:cstheme="majorBidi"/>
      <w:color w:val="1F4D78" w:themeColor="accent1" w:themeShade="7F"/>
      <w:sz w:val="22"/>
      <w:szCs w:val="22"/>
      <w:lang w:eastAsia="en-US"/>
    </w:rPr>
  </w:style>
  <w:style w:type="paragraph" w:styleId="Nagwek6">
    <w:name w:val="heading 6"/>
    <w:basedOn w:val="Normalny"/>
    <w:next w:val="Normalny"/>
    <w:link w:val="Nagwek6Znak"/>
    <w:uiPriority w:val="99"/>
    <w:rsid w:val="00115B39"/>
    <w:pPr>
      <w:keepNext/>
      <w:keepLines/>
      <w:spacing w:before="200" w:line="360" w:lineRule="auto"/>
      <w:ind w:left="340"/>
      <w:outlineLvl w:val="5"/>
    </w:pPr>
    <w:rPr>
      <w:rFonts w:ascii="Cambria" w:hAnsi="Cambria"/>
      <w:i/>
      <w:iCs/>
      <w:color w:val="243F60"/>
      <w:sz w:val="22"/>
      <w:szCs w:val="22"/>
      <w:lang w:eastAsia="en-US"/>
    </w:rPr>
  </w:style>
  <w:style w:type="paragraph" w:styleId="Nagwek7">
    <w:name w:val="heading 7"/>
    <w:basedOn w:val="Normalny"/>
    <w:next w:val="Normalny"/>
    <w:link w:val="Nagwek7Znak"/>
    <w:unhideWhenUsed/>
    <w:qFormat/>
    <w:rsid w:val="00115B39"/>
    <w:pPr>
      <w:keepNext/>
      <w:keepLines/>
      <w:spacing w:before="200" w:line="360" w:lineRule="auto"/>
      <w:ind w:left="340"/>
      <w:outlineLvl w:val="6"/>
    </w:pPr>
    <w:rPr>
      <w:rFonts w:asciiTheme="majorHAnsi" w:eastAsiaTheme="majorEastAsia" w:hAnsiTheme="majorHAnsi" w:cstheme="majorBidi"/>
      <w:i/>
      <w:iCs/>
      <w:color w:val="404040" w:themeColor="text1" w:themeTint="BF"/>
      <w:sz w:val="22"/>
      <w:szCs w:val="22"/>
      <w:lang w:eastAsia="en-US"/>
    </w:rPr>
  </w:style>
  <w:style w:type="paragraph" w:styleId="Nagwek8">
    <w:name w:val="heading 8"/>
    <w:basedOn w:val="Normalny"/>
    <w:next w:val="Normalny"/>
    <w:link w:val="Nagwek8Znak"/>
    <w:unhideWhenUsed/>
    <w:qFormat/>
    <w:rsid w:val="00115B39"/>
    <w:pPr>
      <w:keepNext/>
      <w:keepLines/>
      <w:spacing w:before="200" w:line="360" w:lineRule="auto"/>
      <w:ind w:left="340"/>
      <w:outlineLvl w:val="7"/>
    </w:pPr>
    <w:rPr>
      <w:rFonts w:asciiTheme="majorHAnsi" w:eastAsiaTheme="majorEastAsia" w:hAnsiTheme="majorHAnsi" w:cstheme="majorBidi"/>
      <w:color w:val="404040" w:themeColor="text1" w:themeTint="BF"/>
      <w:sz w:val="20"/>
      <w:szCs w:val="20"/>
      <w:lang w:eastAsia="en-US"/>
    </w:rPr>
  </w:style>
  <w:style w:type="paragraph" w:styleId="Nagwek9">
    <w:name w:val="heading 9"/>
    <w:basedOn w:val="Normalny"/>
    <w:next w:val="Normalny"/>
    <w:link w:val="Nagwek9Znak"/>
    <w:semiHidden/>
    <w:unhideWhenUsed/>
    <w:qFormat/>
    <w:rsid w:val="00115B39"/>
    <w:pPr>
      <w:keepNext/>
      <w:keepLines/>
      <w:spacing w:before="200" w:line="360" w:lineRule="auto"/>
      <w:ind w:left="34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A1283C"/>
    <w:rPr>
      <w:rFonts w:ascii="Arial" w:eastAsiaTheme="majorEastAsia" w:hAnsi="Arial" w:cs="Arial"/>
      <w:b/>
      <w:bCs/>
      <w:kern w:val="32"/>
      <w:sz w:val="32"/>
      <w:szCs w:val="32"/>
      <w:lang w:eastAsia="pl-PL"/>
    </w:rPr>
  </w:style>
  <w:style w:type="paragraph" w:styleId="Akapitzlist">
    <w:name w:val="List Paragraph"/>
    <w:aliases w:val="Numbered List,1st level - Bullet List Paragraph,Lettre d'introduction,Paragrafo elenco,Paragraph,Bullet EY,Bullet point 1,DE_HEADING3,Bullets,Medium Grid 1 - Accent 21,Dot pt,F5 List Paragraph,List Paragraph1,Recommendation"/>
    <w:basedOn w:val="Normalny"/>
    <w:link w:val="AkapitzlistZnak"/>
    <w:uiPriority w:val="34"/>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rsid w:val="002E4CEF"/>
    <w:rPr>
      <w:sz w:val="16"/>
      <w:szCs w:val="16"/>
    </w:rPr>
  </w:style>
  <w:style w:type="paragraph" w:styleId="Tekstkomentarza">
    <w:name w:val="annotation text"/>
    <w:basedOn w:val="Normalny"/>
    <w:link w:val="TekstkomentarzaZnak"/>
    <w:uiPriority w:val="99"/>
    <w:unhideWhenUsed/>
    <w:rsid w:val="002E4CEF"/>
    <w:rPr>
      <w:sz w:val="20"/>
      <w:szCs w:val="20"/>
    </w:rPr>
  </w:style>
  <w:style w:type="character" w:customStyle="1" w:styleId="TekstkomentarzaZnak">
    <w:name w:val="Tekst komentarza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A1283C"/>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A1283C"/>
    <w:rPr>
      <w:rFonts w:ascii="Arial" w:eastAsiaTheme="majorEastAsia" w:hAnsi="Arial" w:cstheme="majorBidi"/>
      <w:b/>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unhideWhenUsed/>
    <w:rsid w:val="001D6AF8"/>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rsid w:val="001D6AF8"/>
    <w:rPr>
      <w:rFonts w:ascii="Arial" w:hAnsi="Arial"/>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rsid w:val="00A1283C"/>
    <w:pPr>
      <w:tabs>
        <w:tab w:val="right" w:leader="dot" w:pos="9062"/>
      </w:tabs>
      <w:spacing w:before="120" w:after="120" w:line="360" w:lineRule="auto"/>
    </w:pPr>
  </w:style>
  <w:style w:type="paragraph" w:styleId="Spistreci2">
    <w:name w:val="toc 2"/>
    <w:basedOn w:val="Normalny"/>
    <w:next w:val="Normalny"/>
    <w:autoRedefine/>
    <w:uiPriority w:val="39"/>
    <w:unhideWhenUsed/>
    <w:rsid w:val="00CE3751"/>
    <w:pPr>
      <w:tabs>
        <w:tab w:val="right" w:leader="dot" w:pos="9062"/>
      </w:tabs>
      <w:spacing w:before="120" w:after="120" w:line="360" w:lineRule="auto"/>
      <w:ind w:left="238"/>
    </w:pPr>
  </w:style>
  <w:style w:type="paragraph" w:styleId="Spistreci3">
    <w:name w:val="toc 3"/>
    <w:basedOn w:val="Normalny"/>
    <w:next w:val="Normalny"/>
    <w:autoRedefine/>
    <w:uiPriority w:val="39"/>
    <w:unhideWhenUsed/>
    <w:rsid w:val="00A1283C"/>
    <w:pPr>
      <w:tabs>
        <w:tab w:val="right" w:leader="dot" w:pos="9062"/>
      </w:tabs>
      <w:spacing w:before="120" w:after="120" w:line="360" w:lineRule="auto"/>
      <w:ind w:left="482"/>
    </w:pPr>
  </w:style>
  <w:style w:type="paragraph" w:customStyle="1" w:styleId="DATAAKTUdatauchwalenialubwydaniaaktu">
    <w:name w:val="DATA_AKTU – data uchwalenia lub wydania aktu"/>
    <w:next w:val="Normalny"/>
    <w:link w:val="DATAAKTUdatauchwalenialubwydaniaaktuZnak"/>
    <w:uiPriority w:val="99"/>
    <w:rsid w:val="00D3778A"/>
    <w:pPr>
      <w:keepNext/>
      <w:suppressAutoHyphens/>
      <w:spacing w:before="120" w:after="120" w:line="360" w:lineRule="auto"/>
      <w:jc w:val="center"/>
    </w:pPr>
    <w:rPr>
      <w:rFonts w:ascii="Times" w:hAnsi="Times" w:cs="Arial"/>
      <w:bCs/>
      <w:sz w:val="24"/>
      <w:szCs w:val="24"/>
      <w:lang w:eastAsia="pl-PL"/>
    </w:rPr>
  </w:style>
  <w:style w:type="character" w:customStyle="1" w:styleId="AkapitzlistZnak">
    <w:name w:val="Akapit z listą Znak"/>
    <w:aliases w:val="Numbered List Znak,1st level - Bullet List Paragraph Znak,Lettre d'introduction Znak,Paragrafo elenco Znak,Paragraph Znak,Bullet EY Znak,Bullet point 1 Znak,DE_HEADING3 Znak,Bullets Znak,Medium Grid 1 - Accent 21 Znak,Dot pt Znak"/>
    <w:link w:val="Akapitzlist"/>
    <w:uiPriority w:val="34"/>
    <w:qFormat/>
    <w:locked/>
    <w:rsid w:val="00F36DB4"/>
    <w:rPr>
      <w:rFonts w:ascii="Arial" w:hAnsi="Arial"/>
      <w:sz w:val="24"/>
      <w:szCs w:val="24"/>
      <w:lang w:eastAsia="pl-PL"/>
    </w:rPr>
  </w:style>
  <w:style w:type="character" w:customStyle="1" w:styleId="Nagwek4Znak">
    <w:name w:val="Nagłówek 4 Znak"/>
    <w:basedOn w:val="Domylnaczcionkaakapitu"/>
    <w:link w:val="Nagwek4"/>
    <w:rsid w:val="00115B39"/>
    <w:rPr>
      <w:rFonts w:asciiTheme="majorHAnsi" w:eastAsiaTheme="majorEastAsia" w:hAnsiTheme="majorHAnsi" w:cstheme="majorBidi"/>
      <w:b/>
      <w:bCs/>
      <w:i/>
      <w:iCs/>
      <w:color w:val="5B9BD5" w:themeColor="accent1"/>
      <w:sz w:val="22"/>
      <w:szCs w:val="22"/>
    </w:rPr>
  </w:style>
  <w:style w:type="character" w:customStyle="1" w:styleId="Nagwek5Znak">
    <w:name w:val="Nagłówek 5 Znak"/>
    <w:basedOn w:val="Domylnaczcionkaakapitu"/>
    <w:link w:val="Nagwek5"/>
    <w:rsid w:val="00115B39"/>
    <w:rPr>
      <w:rFonts w:asciiTheme="majorHAnsi" w:eastAsiaTheme="majorEastAsia" w:hAnsiTheme="majorHAnsi" w:cstheme="majorBidi"/>
      <w:color w:val="1F4D78" w:themeColor="accent1" w:themeShade="7F"/>
      <w:sz w:val="22"/>
      <w:szCs w:val="22"/>
    </w:rPr>
  </w:style>
  <w:style w:type="character" w:customStyle="1" w:styleId="Nagwek6Znak">
    <w:name w:val="Nagłówek 6 Znak"/>
    <w:basedOn w:val="Domylnaczcionkaakapitu"/>
    <w:link w:val="Nagwek6"/>
    <w:uiPriority w:val="99"/>
    <w:rsid w:val="00115B39"/>
    <w:rPr>
      <w:rFonts w:ascii="Cambria" w:hAnsi="Cambria"/>
      <w:i/>
      <w:iCs/>
      <w:color w:val="243F60"/>
      <w:sz w:val="22"/>
      <w:szCs w:val="22"/>
    </w:rPr>
  </w:style>
  <w:style w:type="character" w:customStyle="1" w:styleId="Nagwek7Znak">
    <w:name w:val="Nagłówek 7 Znak"/>
    <w:basedOn w:val="Domylnaczcionkaakapitu"/>
    <w:link w:val="Nagwek7"/>
    <w:rsid w:val="00115B39"/>
    <w:rPr>
      <w:rFonts w:asciiTheme="majorHAnsi" w:eastAsiaTheme="majorEastAsia" w:hAnsiTheme="majorHAnsi" w:cstheme="majorBidi"/>
      <w:i/>
      <w:iCs/>
      <w:color w:val="404040" w:themeColor="text1" w:themeTint="BF"/>
      <w:sz w:val="22"/>
      <w:szCs w:val="22"/>
    </w:rPr>
  </w:style>
  <w:style w:type="character" w:customStyle="1" w:styleId="Nagwek8Znak">
    <w:name w:val="Nagłówek 8 Znak"/>
    <w:basedOn w:val="Domylnaczcionkaakapitu"/>
    <w:link w:val="Nagwek8"/>
    <w:rsid w:val="00115B39"/>
    <w:rPr>
      <w:rFonts w:asciiTheme="majorHAnsi" w:eastAsiaTheme="majorEastAsia" w:hAnsiTheme="majorHAnsi" w:cstheme="majorBidi"/>
      <w:color w:val="404040" w:themeColor="text1" w:themeTint="BF"/>
    </w:rPr>
  </w:style>
  <w:style w:type="character" w:customStyle="1" w:styleId="Nagwek9Znak">
    <w:name w:val="Nagłówek 9 Znak"/>
    <w:basedOn w:val="Domylnaczcionkaakapitu"/>
    <w:link w:val="Nagwek9"/>
    <w:semiHidden/>
    <w:rsid w:val="00115B39"/>
    <w:rPr>
      <w:rFonts w:asciiTheme="majorHAnsi" w:eastAsiaTheme="majorEastAsia" w:hAnsiTheme="majorHAnsi" w:cstheme="majorBidi"/>
      <w:i/>
      <w:iCs/>
      <w:color w:val="404040" w:themeColor="text1" w:themeTint="BF"/>
    </w:rPr>
  </w:style>
  <w:style w:type="character" w:customStyle="1" w:styleId="DATAAKTUdatauchwalenialubwydaniaaktuZnak">
    <w:name w:val="DATA_AKTU – data uchwalenia lub wydania aktu Znak"/>
    <w:link w:val="DATAAKTUdatauchwalenialubwydaniaaktu"/>
    <w:uiPriority w:val="99"/>
    <w:locked/>
    <w:rsid w:val="00115B39"/>
    <w:rPr>
      <w:rFonts w:ascii="Times"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99"/>
    <w:rsid w:val="00115B39"/>
    <w:pPr>
      <w:keepNext/>
      <w:suppressAutoHyphens/>
      <w:spacing w:before="120" w:after="120" w:line="360" w:lineRule="auto"/>
      <w:ind w:left="340"/>
      <w:jc w:val="center"/>
    </w:pPr>
    <w:rPr>
      <w:rFonts w:ascii="Times" w:hAnsi="Times"/>
      <w:b/>
      <w:bCs/>
      <w:caps/>
      <w:spacing w:val="54"/>
      <w:kern w:val="24"/>
      <w:sz w:val="24"/>
      <w:szCs w:val="24"/>
      <w:lang w:eastAsia="pl-PL"/>
    </w:rPr>
  </w:style>
  <w:style w:type="character" w:customStyle="1" w:styleId="OZNRODZAKTUtznustawalubrozporzdzenieiorganwydajcyZnak">
    <w:name w:val="OZN_RODZ_AKTU – tzn. ustawa lub rozporządzenie i organ wydający Znak"/>
    <w:link w:val="OZNRODZAKTUtznustawalubrozporzdzenieiorganwydajcy"/>
    <w:uiPriority w:val="99"/>
    <w:locked/>
    <w:rsid w:val="00115B39"/>
    <w:rPr>
      <w:rFonts w:ascii="Times" w:hAnsi="Times"/>
      <w:b/>
      <w:bCs/>
      <w:caps/>
      <w:spacing w:val="54"/>
      <w:kern w:val="24"/>
      <w:sz w:val="24"/>
      <w:szCs w:val="24"/>
      <w:lang w:eastAsia="pl-PL"/>
    </w:rPr>
  </w:style>
  <w:style w:type="paragraph" w:customStyle="1" w:styleId="Default">
    <w:name w:val="Default"/>
    <w:rsid w:val="00115B39"/>
    <w:pPr>
      <w:autoSpaceDE w:val="0"/>
      <w:autoSpaceDN w:val="0"/>
      <w:adjustRightInd w:val="0"/>
      <w:spacing w:before="120" w:after="120" w:line="360" w:lineRule="auto"/>
      <w:ind w:left="340"/>
    </w:pPr>
    <w:rPr>
      <w:rFonts w:ascii="EUAlbertina" w:eastAsia="Calibri" w:hAnsi="EUAlbertina" w:cs="EUAlbertina"/>
      <w:color w:val="000000"/>
      <w:sz w:val="24"/>
      <w:szCs w:val="24"/>
    </w:rPr>
  </w:style>
  <w:style w:type="paragraph" w:customStyle="1" w:styleId="CM1">
    <w:name w:val="CM1"/>
    <w:basedOn w:val="Default"/>
    <w:next w:val="Default"/>
    <w:uiPriority w:val="99"/>
    <w:rsid w:val="00115B39"/>
    <w:rPr>
      <w:rFonts w:cs="Times New Roman"/>
      <w:color w:val="auto"/>
    </w:rPr>
  </w:style>
  <w:style w:type="paragraph" w:customStyle="1" w:styleId="CM3">
    <w:name w:val="CM3"/>
    <w:basedOn w:val="Default"/>
    <w:next w:val="Default"/>
    <w:uiPriority w:val="99"/>
    <w:rsid w:val="00115B39"/>
    <w:rPr>
      <w:rFonts w:cs="Times New Roman"/>
      <w:color w:val="auto"/>
    </w:rPr>
  </w:style>
  <w:style w:type="paragraph" w:customStyle="1" w:styleId="CM4">
    <w:name w:val="CM4"/>
    <w:basedOn w:val="Default"/>
    <w:next w:val="Default"/>
    <w:uiPriority w:val="99"/>
    <w:rsid w:val="00115B39"/>
    <w:rPr>
      <w:rFonts w:cs="Times New Roman"/>
      <w:color w:val="auto"/>
    </w:rPr>
  </w:style>
  <w:style w:type="paragraph" w:customStyle="1" w:styleId="ZnakZnak">
    <w:name w:val="Znak Znak"/>
    <w:basedOn w:val="Normalny"/>
    <w:rsid w:val="00115B39"/>
    <w:pPr>
      <w:spacing w:before="120" w:line="360" w:lineRule="auto"/>
      <w:ind w:left="340"/>
      <w:jc w:val="both"/>
    </w:pPr>
    <w:rPr>
      <w:rFonts w:ascii="Verdana" w:hAnsi="Verdana"/>
      <w:sz w:val="20"/>
      <w:szCs w:val="20"/>
    </w:rPr>
  </w:style>
  <w:style w:type="paragraph" w:customStyle="1" w:styleId="ZCZWSPLITwPKTzmczciwsplitwpktartykuempunktem">
    <w:name w:val="Z/CZ_WSP_LIT_w_PKT – zm. części wsp. lit. w pkt artykułem (punktem)"/>
    <w:basedOn w:val="Normalny"/>
    <w:next w:val="Normalny"/>
    <w:link w:val="ZCZWSPLITwPKTzmczciwsplitwpktartykuempunktemZnak"/>
    <w:uiPriority w:val="99"/>
    <w:rsid w:val="00115B39"/>
    <w:pPr>
      <w:spacing w:before="120" w:line="360" w:lineRule="auto"/>
      <w:ind w:left="1021"/>
      <w:jc w:val="both"/>
    </w:pPr>
    <w:rPr>
      <w:rFonts w:ascii="Times" w:hAnsi="Times"/>
      <w:bCs/>
    </w:rPr>
  </w:style>
  <w:style w:type="character" w:customStyle="1" w:styleId="ZCZWSPLITwPKTzmczciwsplitwpktartykuempunktemZnak">
    <w:name w:val="Z/CZ_WSP_LIT_w_PKT – zm. części wsp. lit. w pkt artykułem (punktem) Znak"/>
    <w:link w:val="ZCZWSPLITwPKTzmczciwsplitwpktartykuempunktem"/>
    <w:uiPriority w:val="99"/>
    <w:locked/>
    <w:rsid w:val="00115B39"/>
    <w:rPr>
      <w:rFonts w:ascii="Times" w:hAnsi="Times"/>
      <w:bCs/>
      <w:sz w:val="24"/>
      <w:szCs w:val="24"/>
      <w:lang w:eastAsia="pl-PL"/>
    </w:rPr>
  </w:style>
  <w:style w:type="paragraph" w:customStyle="1" w:styleId="USTustnpkodeksu">
    <w:name w:val="UST(§) – ust. (§ np. kodeksu)"/>
    <w:basedOn w:val="Normalny"/>
    <w:link w:val="USTustnpkodeksuZnak"/>
    <w:uiPriority w:val="12"/>
    <w:rsid w:val="00115B39"/>
    <w:pPr>
      <w:suppressAutoHyphens/>
      <w:autoSpaceDE w:val="0"/>
      <w:autoSpaceDN w:val="0"/>
      <w:adjustRightInd w:val="0"/>
      <w:spacing w:before="120" w:line="360" w:lineRule="auto"/>
      <w:ind w:left="340" w:firstLine="510"/>
      <w:jc w:val="both"/>
    </w:pPr>
    <w:rPr>
      <w:rFonts w:ascii="Times" w:hAnsi="Times"/>
      <w:bCs/>
      <w:szCs w:val="20"/>
    </w:rPr>
  </w:style>
  <w:style w:type="character" w:customStyle="1" w:styleId="USTustnpkodeksuZnak">
    <w:name w:val="UST(§) – ust. (§ np. kodeksu) Znak"/>
    <w:link w:val="USTustnpkodeksu"/>
    <w:uiPriority w:val="12"/>
    <w:locked/>
    <w:rsid w:val="00115B39"/>
    <w:rPr>
      <w:rFonts w:ascii="Times" w:hAnsi="Times"/>
      <w:bCs/>
      <w:sz w:val="24"/>
      <w:lang w:eastAsia="pl-PL"/>
    </w:rPr>
  </w:style>
  <w:style w:type="paragraph" w:customStyle="1" w:styleId="Point1letter">
    <w:name w:val="Point 1 (letter)"/>
    <w:basedOn w:val="Normalny"/>
    <w:uiPriority w:val="99"/>
    <w:rsid w:val="00115B39"/>
    <w:pPr>
      <w:tabs>
        <w:tab w:val="num" w:pos="1417"/>
      </w:tabs>
      <w:spacing w:before="120" w:after="120"/>
      <w:ind w:left="1417" w:hanging="567"/>
      <w:jc w:val="both"/>
    </w:pPr>
    <w:rPr>
      <w:rFonts w:ascii="Times New Roman" w:hAnsi="Times New Roman"/>
      <w:sz w:val="20"/>
      <w:szCs w:val="20"/>
      <w:lang w:eastAsia="en-US"/>
    </w:rPr>
  </w:style>
  <w:style w:type="paragraph" w:styleId="Tekstpodstawowy">
    <w:name w:val="Body Text"/>
    <w:basedOn w:val="Normalny"/>
    <w:link w:val="TekstpodstawowyZnak"/>
    <w:uiPriority w:val="99"/>
    <w:rsid w:val="00115B39"/>
    <w:pPr>
      <w:spacing w:before="120" w:after="120"/>
      <w:ind w:left="340"/>
    </w:pPr>
    <w:rPr>
      <w:rFonts w:ascii="Verdana" w:hAnsi="Verdana"/>
      <w:b/>
      <w:sz w:val="20"/>
      <w:szCs w:val="20"/>
      <w:lang w:val="de-DE"/>
    </w:rPr>
  </w:style>
  <w:style w:type="character" w:customStyle="1" w:styleId="TekstpodstawowyZnak">
    <w:name w:val="Tekst podstawowy Znak"/>
    <w:basedOn w:val="Domylnaczcionkaakapitu"/>
    <w:link w:val="Tekstpodstawowy"/>
    <w:uiPriority w:val="99"/>
    <w:rsid w:val="00115B39"/>
    <w:rPr>
      <w:rFonts w:ascii="Verdana" w:hAnsi="Verdana"/>
      <w:b/>
      <w:lang w:val="de-DE" w:eastAsia="pl-PL"/>
    </w:rPr>
  </w:style>
  <w:style w:type="paragraph" w:styleId="Legenda">
    <w:name w:val="caption"/>
    <w:basedOn w:val="Normalny"/>
    <w:next w:val="Normalny"/>
    <w:link w:val="LegendaZnak"/>
    <w:uiPriority w:val="99"/>
    <w:rsid w:val="00115B39"/>
    <w:pPr>
      <w:spacing w:before="120"/>
      <w:ind w:left="340"/>
    </w:pPr>
    <w:rPr>
      <w:rFonts w:ascii="Times New Roman" w:hAnsi="Times New Roman"/>
      <w:b/>
      <w:bCs/>
      <w:sz w:val="20"/>
      <w:szCs w:val="20"/>
    </w:rPr>
  </w:style>
  <w:style w:type="character" w:customStyle="1" w:styleId="LegendaZnak">
    <w:name w:val="Legenda Znak"/>
    <w:link w:val="Legenda"/>
    <w:uiPriority w:val="99"/>
    <w:locked/>
    <w:rsid w:val="00115B39"/>
    <w:rPr>
      <w:b/>
      <w:bCs/>
      <w:lang w:eastAsia="pl-PL"/>
    </w:rPr>
  </w:style>
  <w:style w:type="character" w:customStyle="1" w:styleId="TekstdymkaZnak">
    <w:name w:val="Tekst dymka Znak"/>
    <w:basedOn w:val="Domylnaczcionkaakapitu"/>
    <w:link w:val="Tekstdymka"/>
    <w:uiPriority w:val="99"/>
    <w:semiHidden/>
    <w:locked/>
    <w:rsid w:val="00115B39"/>
    <w:rPr>
      <w:rFonts w:ascii="Tahoma" w:hAnsi="Tahoma" w:cs="Tahoma"/>
      <w:sz w:val="16"/>
      <w:szCs w:val="16"/>
      <w:lang w:eastAsia="pl-PL"/>
    </w:rPr>
  </w:style>
  <w:style w:type="paragraph" w:styleId="Tytu">
    <w:name w:val="Title"/>
    <w:basedOn w:val="Normalny"/>
    <w:next w:val="Podtytu"/>
    <w:link w:val="TytuZnak"/>
    <w:uiPriority w:val="99"/>
    <w:rsid w:val="00115B39"/>
    <w:pPr>
      <w:suppressAutoHyphens/>
      <w:spacing w:before="120"/>
      <w:ind w:left="340"/>
      <w:jc w:val="center"/>
    </w:pPr>
    <w:rPr>
      <w:rFonts w:ascii="Century" w:hAnsi="Century" w:cs="Courier New"/>
      <w:b/>
      <w:bCs/>
      <w:lang w:eastAsia="ar-SA"/>
    </w:rPr>
  </w:style>
  <w:style w:type="character" w:customStyle="1" w:styleId="TytuZnak">
    <w:name w:val="Tytuł Znak"/>
    <w:basedOn w:val="Domylnaczcionkaakapitu"/>
    <w:link w:val="Tytu"/>
    <w:uiPriority w:val="99"/>
    <w:rsid w:val="00115B39"/>
    <w:rPr>
      <w:rFonts w:ascii="Century" w:hAnsi="Century" w:cs="Courier New"/>
      <w:b/>
      <w:bCs/>
      <w:sz w:val="24"/>
      <w:szCs w:val="24"/>
      <w:lang w:eastAsia="ar-SA"/>
    </w:rPr>
  </w:style>
  <w:style w:type="paragraph" w:styleId="Podtytu">
    <w:name w:val="Subtitle"/>
    <w:basedOn w:val="Normalny"/>
    <w:next w:val="Normalny"/>
    <w:link w:val="PodtytuZnak"/>
    <w:uiPriority w:val="99"/>
    <w:rsid w:val="00115B39"/>
    <w:pPr>
      <w:numPr>
        <w:ilvl w:val="1"/>
      </w:numPr>
      <w:spacing w:before="120" w:after="120" w:line="360" w:lineRule="auto"/>
      <w:ind w:left="357" w:firstLine="357"/>
    </w:pPr>
    <w:rPr>
      <w:rFonts w:ascii="Cambria" w:hAnsi="Cambria"/>
      <w:i/>
      <w:iCs/>
      <w:color w:val="4F81BD"/>
      <w:spacing w:val="15"/>
      <w:lang w:eastAsia="en-US"/>
    </w:rPr>
  </w:style>
  <w:style w:type="character" w:customStyle="1" w:styleId="PodtytuZnak">
    <w:name w:val="Podtytuł Znak"/>
    <w:basedOn w:val="Domylnaczcionkaakapitu"/>
    <w:link w:val="Podtytu"/>
    <w:uiPriority w:val="99"/>
    <w:rsid w:val="00115B39"/>
    <w:rPr>
      <w:rFonts w:ascii="Cambria" w:hAnsi="Cambria"/>
      <w:i/>
      <w:iCs/>
      <w:color w:val="4F81BD"/>
      <w:spacing w:val="15"/>
      <w:sz w:val="24"/>
      <w:szCs w:val="24"/>
    </w:rPr>
  </w:style>
  <w:style w:type="table" w:styleId="Jasnalistaakcent3">
    <w:name w:val="Light List Accent 3"/>
    <w:basedOn w:val="Standardowy"/>
    <w:uiPriority w:val="99"/>
    <w:rsid w:val="00115B39"/>
    <w:pPr>
      <w:spacing w:before="120" w:after="120" w:line="360" w:lineRule="auto"/>
      <w:ind w:left="340"/>
    </w:pPr>
    <w:rPr>
      <w:rFonts w:ascii="Calibri" w:hAnsi="Calibri"/>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Nagwekspisutreci">
    <w:name w:val="TOC Heading"/>
    <w:basedOn w:val="Nagwek1"/>
    <w:next w:val="Normalny"/>
    <w:uiPriority w:val="39"/>
    <w:rsid w:val="00115B39"/>
    <w:pPr>
      <w:keepLines/>
      <w:spacing w:before="480" w:after="0"/>
      <w:ind w:left="340"/>
      <w:outlineLvl w:val="9"/>
    </w:pPr>
    <w:rPr>
      <w:rFonts w:ascii="Cambria" w:eastAsia="Times New Roman" w:hAnsi="Cambria" w:cs="Times New Roman"/>
      <w:color w:val="365F91"/>
      <w:sz w:val="28"/>
    </w:rPr>
  </w:style>
  <w:style w:type="character" w:customStyle="1" w:styleId="NagwekZnak">
    <w:name w:val="Nagłówek Znak"/>
    <w:basedOn w:val="Domylnaczcionkaakapitu"/>
    <w:link w:val="Nagwek"/>
    <w:uiPriority w:val="99"/>
    <w:locked/>
    <w:rsid w:val="00115B39"/>
    <w:rPr>
      <w:rFonts w:ascii="Arial" w:hAnsi="Arial"/>
      <w:sz w:val="24"/>
      <w:szCs w:val="24"/>
      <w:lang w:eastAsia="pl-PL"/>
    </w:rPr>
  </w:style>
  <w:style w:type="paragraph" w:customStyle="1" w:styleId="Tytuowa1">
    <w:name w:val="Tytułowa 1"/>
    <w:basedOn w:val="Tytu"/>
    <w:uiPriority w:val="99"/>
    <w:rsid w:val="00115B39"/>
    <w:pPr>
      <w:suppressAutoHyphens w:val="0"/>
      <w:spacing w:before="240" w:after="60" w:line="360" w:lineRule="auto"/>
      <w:outlineLvl w:val="0"/>
    </w:pPr>
    <w:rPr>
      <w:rFonts w:ascii="Arial" w:hAnsi="Arial" w:cs="Arial"/>
      <w:kern w:val="28"/>
      <w:sz w:val="32"/>
      <w:szCs w:val="32"/>
      <w:lang w:eastAsia="pl-PL"/>
    </w:rPr>
  </w:style>
  <w:style w:type="paragraph" w:customStyle="1" w:styleId="Akapit">
    <w:name w:val="Akapit"/>
    <w:basedOn w:val="Nagwek6"/>
    <w:rsid w:val="00115B39"/>
    <w:pPr>
      <w:keepLines w:val="0"/>
      <w:spacing w:before="0"/>
      <w:jc w:val="both"/>
    </w:pPr>
    <w:rPr>
      <w:rFonts w:ascii="Times New Roman" w:hAnsi="Times New Roman"/>
      <w:i w:val="0"/>
      <w:iCs w:val="0"/>
      <w:color w:val="auto"/>
      <w:sz w:val="24"/>
      <w:szCs w:val="24"/>
      <w:lang w:eastAsia="pl-PL"/>
    </w:rPr>
  </w:style>
  <w:style w:type="paragraph" w:customStyle="1" w:styleId="ZnakZnak1">
    <w:name w:val="Znak Znak1"/>
    <w:basedOn w:val="Normalny"/>
    <w:uiPriority w:val="99"/>
    <w:rsid w:val="00115B39"/>
    <w:pPr>
      <w:spacing w:before="120" w:line="360" w:lineRule="auto"/>
      <w:ind w:left="340"/>
      <w:jc w:val="both"/>
    </w:pPr>
    <w:rPr>
      <w:rFonts w:ascii="Verdana" w:hAnsi="Verdana"/>
      <w:sz w:val="20"/>
      <w:szCs w:val="20"/>
    </w:rPr>
  </w:style>
  <w:style w:type="character" w:styleId="Uwydatnienie">
    <w:name w:val="Emphasis"/>
    <w:basedOn w:val="Domylnaczcionkaakapitu"/>
    <w:uiPriority w:val="99"/>
    <w:rsid w:val="00115B39"/>
    <w:rPr>
      <w:rFonts w:cs="Times New Roman"/>
      <w:i/>
      <w:iCs/>
    </w:rPr>
  </w:style>
  <w:style w:type="character" w:styleId="UyteHipercze">
    <w:name w:val="FollowedHyperlink"/>
    <w:basedOn w:val="Domylnaczcionkaakapitu"/>
    <w:uiPriority w:val="99"/>
    <w:semiHidden/>
    <w:unhideWhenUsed/>
    <w:rsid w:val="00115B39"/>
    <w:rPr>
      <w:color w:val="954F72" w:themeColor="followedHyperlink"/>
      <w:u w:val="single"/>
    </w:rPr>
  </w:style>
  <w:style w:type="paragraph" w:customStyle="1" w:styleId="Tekstpodstawowybtb">
    <w:name w:val="Tekst podstawowy.bt.b"/>
    <w:basedOn w:val="Normalny"/>
    <w:rsid w:val="00115B39"/>
    <w:pPr>
      <w:spacing w:before="120"/>
      <w:ind w:left="340"/>
      <w:jc w:val="both"/>
    </w:pPr>
    <w:rPr>
      <w:rFonts w:ascii="Times New Roman" w:hAnsi="Times New Roman"/>
      <w:sz w:val="20"/>
      <w:szCs w:val="20"/>
    </w:rPr>
  </w:style>
  <w:style w:type="paragraph" w:customStyle="1" w:styleId="PKTpunkt">
    <w:name w:val="PKT – punkt"/>
    <w:uiPriority w:val="16"/>
    <w:rsid w:val="00115B39"/>
    <w:pPr>
      <w:spacing w:before="120" w:after="120" w:line="360" w:lineRule="auto"/>
      <w:ind w:left="510" w:hanging="510"/>
      <w:jc w:val="both"/>
    </w:pPr>
    <w:rPr>
      <w:rFonts w:ascii="Times" w:hAnsi="Times" w:cs="Arial"/>
      <w:bCs/>
      <w:sz w:val="24"/>
      <w:lang w:eastAsia="pl-PL"/>
    </w:rPr>
  </w:style>
  <w:style w:type="paragraph" w:styleId="NormalnyWeb">
    <w:name w:val="Normal (Web)"/>
    <w:basedOn w:val="Normalny"/>
    <w:uiPriority w:val="99"/>
    <w:unhideWhenUsed/>
    <w:rsid w:val="00115B39"/>
    <w:pPr>
      <w:spacing w:before="100" w:beforeAutospacing="1" w:after="100" w:afterAutospacing="1"/>
      <w:ind w:left="340"/>
    </w:pPr>
    <w:rPr>
      <w:rFonts w:ascii="Times New Roman" w:hAnsi="Times New Roman"/>
    </w:rPr>
  </w:style>
  <w:style w:type="paragraph" w:styleId="Tekstprzypisukocowego">
    <w:name w:val="endnote text"/>
    <w:basedOn w:val="Normalny"/>
    <w:link w:val="TekstprzypisukocowegoZnak"/>
    <w:uiPriority w:val="99"/>
    <w:semiHidden/>
    <w:unhideWhenUsed/>
    <w:rsid w:val="00115B39"/>
    <w:pPr>
      <w:spacing w:before="120"/>
      <w:ind w:left="340"/>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115B39"/>
    <w:rPr>
      <w:rFonts w:ascii="Calibri" w:eastAsia="Calibri" w:hAnsi="Calibri"/>
    </w:rPr>
  </w:style>
  <w:style w:type="character" w:styleId="Odwoanieprzypisukocowego">
    <w:name w:val="endnote reference"/>
    <w:basedOn w:val="Domylnaczcionkaakapitu"/>
    <w:uiPriority w:val="99"/>
    <w:semiHidden/>
    <w:unhideWhenUsed/>
    <w:rsid w:val="00115B39"/>
    <w:rPr>
      <w:vertAlign w:val="superscript"/>
    </w:rPr>
  </w:style>
  <w:style w:type="paragraph" w:customStyle="1" w:styleId="ARTartustawynprozporzdzenia">
    <w:name w:val="ART(§) – art. ustawy (§ np. rozporządzenia)"/>
    <w:link w:val="ARTartustawynprozporzdzeniaZnak"/>
    <w:uiPriority w:val="11"/>
    <w:rsid w:val="00115B39"/>
    <w:pPr>
      <w:suppressAutoHyphens/>
      <w:autoSpaceDE w:val="0"/>
      <w:autoSpaceDN w:val="0"/>
      <w:adjustRightInd w:val="0"/>
      <w:spacing w:before="120" w:after="120" w:line="360" w:lineRule="auto"/>
      <w:ind w:left="340" w:firstLine="510"/>
      <w:jc w:val="both"/>
    </w:pPr>
    <w:rPr>
      <w:rFonts w:ascii="Times" w:hAnsi="Times" w:cs="Arial"/>
      <w:sz w:val="24"/>
      <w:lang w:eastAsia="pl-PL"/>
    </w:rPr>
  </w:style>
  <w:style w:type="character" w:customStyle="1" w:styleId="Ppogrubienie">
    <w:name w:val="_P_ – pogrubienie"/>
    <w:uiPriority w:val="1"/>
    <w:rsid w:val="00115B39"/>
    <w:rPr>
      <w:b/>
    </w:rPr>
  </w:style>
  <w:style w:type="character" w:customStyle="1" w:styleId="ARTartustawynprozporzdzeniaZnak">
    <w:name w:val="ART(§) – art. ustawy (§ np. rozporządzenia) Znak"/>
    <w:link w:val="ARTartustawynprozporzdzenia"/>
    <w:uiPriority w:val="11"/>
    <w:locked/>
    <w:rsid w:val="00115B39"/>
    <w:rPr>
      <w:rFonts w:ascii="Times" w:hAnsi="Times" w:cs="Arial"/>
      <w:sz w:val="24"/>
      <w:lang w:eastAsia="pl-PL"/>
    </w:rPr>
  </w:style>
  <w:style w:type="character" w:customStyle="1" w:styleId="Nierozpoznanawzmianka1">
    <w:name w:val="Nierozpoznana wzmianka1"/>
    <w:basedOn w:val="Domylnaczcionkaakapitu"/>
    <w:uiPriority w:val="99"/>
    <w:semiHidden/>
    <w:unhideWhenUsed/>
    <w:rsid w:val="00115B39"/>
    <w:rPr>
      <w:color w:val="605E5C"/>
      <w:shd w:val="clear" w:color="auto" w:fill="E1DFDD"/>
    </w:rPr>
  </w:style>
  <w:style w:type="paragraph" w:styleId="Spistreci5">
    <w:name w:val="toc 5"/>
    <w:basedOn w:val="Normalny"/>
    <w:next w:val="Normalny"/>
    <w:autoRedefine/>
    <w:rsid w:val="00115B39"/>
    <w:pPr>
      <w:spacing w:before="120" w:after="100" w:line="360" w:lineRule="auto"/>
      <w:ind w:left="880"/>
    </w:pPr>
    <w:rPr>
      <w:rFonts w:ascii="Calibri" w:eastAsia="Calibri" w:hAnsi="Calibri"/>
      <w:sz w:val="22"/>
      <w:szCs w:val="22"/>
      <w:lang w:eastAsia="en-US"/>
    </w:rPr>
  </w:style>
  <w:style w:type="character" w:customStyle="1" w:styleId="normaltextrun">
    <w:name w:val="normaltextrun"/>
    <w:basedOn w:val="Domylnaczcionkaakapitu"/>
    <w:rsid w:val="00115B39"/>
  </w:style>
  <w:style w:type="character" w:customStyle="1" w:styleId="markedcontent">
    <w:name w:val="markedcontent"/>
    <w:basedOn w:val="Domylnaczcionkaakapitu"/>
    <w:rsid w:val="00115B39"/>
  </w:style>
  <w:style w:type="paragraph" w:customStyle="1" w:styleId="Rozdzia">
    <w:name w:val="Rozdział"/>
    <w:basedOn w:val="Tekstpodstawowy"/>
    <w:rsid w:val="00115B39"/>
    <w:pPr>
      <w:spacing w:before="0"/>
      <w:ind w:left="0" w:right="-1134"/>
    </w:pPr>
    <w:rPr>
      <w:rFonts w:ascii="Calibri" w:hAnsi="Calibri" w:cstheme="minorBidi"/>
      <w:sz w:val="28"/>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6752">
      <w:bodyDiv w:val="1"/>
      <w:marLeft w:val="0"/>
      <w:marRight w:val="0"/>
      <w:marTop w:val="0"/>
      <w:marBottom w:val="0"/>
      <w:divBdr>
        <w:top w:val="none" w:sz="0" w:space="0" w:color="auto"/>
        <w:left w:val="none" w:sz="0" w:space="0" w:color="auto"/>
        <w:bottom w:val="none" w:sz="0" w:space="0" w:color="auto"/>
        <w:right w:val="none" w:sz="0" w:space="0" w:color="auto"/>
      </w:divBdr>
    </w:div>
    <w:div w:id="598100740">
      <w:bodyDiv w:val="1"/>
      <w:marLeft w:val="0"/>
      <w:marRight w:val="0"/>
      <w:marTop w:val="0"/>
      <w:marBottom w:val="0"/>
      <w:divBdr>
        <w:top w:val="none" w:sz="0" w:space="0" w:color="auto"/>
        <w:left w:val="none" w:sz="0" w:space="0" w:color="auto"/>
        <w:bottom w:val="none" w:sz="0" w:space="0" w:color="auto"/>
        <w:right w:val="none" w:sz="0" w:space="0" w:color="auto"/>
      </w:divBdr>
    </w:div>
    <w:div w:id="669673552">
      <w:bodyDiv w:val="1"/>
      <w:marLeft w:val="0"/>
      <w:marRight w:val="0"/>
      <w:marTop w:val="0"/>
      <w:marBottom w:val="0"/>
      <w:divBdr>
        <w:top w:val="none" w:sz="0" w:space="0" w:color="auto"/>
        <w:left w:val="none" w:sz="0" w:space="0" w:color="auto"/>
        <w:bottom w:val="none" w:sz="0" w:space="0" w:color="auto"/>
        <w:right w:val="none" w:sz="0" w:space="0" w:color="auto"/>
      </w:divBdr>
    </w:div>
    <w:div w:id="1395660852">
      <w:bodyDiv w:val="1"/>
      <w:marLeft w:val="0"/>
      <w:marRight w:val="0"/>
      <w:marTop w:val="0"/>
      <w:marBottom w:val="0"/>
      <w:divBdr>
        <w:top w:val="none" w:sz="0" w:space="0" w:color="auto"/>
        <w:left w:val="none" w:sz="0" w:space="0" w:color="auto"/>
        <w:bottom w:val="none" w:sz="0" w:space="0" w:color="auto"/>
        <w:right w:val="none" w:sz="0" w:space="0" w:color="auto"/>
      </w:divBdr>
    </w:div>
    <w:div w:id="152535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tl00$ctl00$GlobalContentPlaceHolder$MainPlaceHolder$gvList','Sort$KlasyfTematPrior.Ko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__doPostBack('ctl00$ctl00$GlobalContentPlaceHolder$MainPlaceHolder$gvList','Sort$Nazw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729-0FE1-4ED4-BE3B-2778FA17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9725</Words>
  <Characters>58353</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67943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creator>Soon</dc:creator>
  <cp:lastModifiedBy>Wilczyńska Marzena</cp:lastModifiedBy>
  <cp:revision>2</cp:revision>
  <cp:lastPrinted>2022-03-25T10:20:00Z</cp:lastPrinted>
  <dcterms:created xsi:type="dcterms:W3CDTF">2022-08-24T07:40:00Z</dcterms:created>
  <dcterms:modified xsi:type="dcterms:W3CDTF">2022-08-24T07:40:00Z</dcterms:modified>
</cp:coreProperties>
</file>